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F1FD37" w14:textId="77777777" w:rsidR="002E35E8" w:rsidRDefault="002E35E8" w:rsidP="00F25D21">
      <w:pPr>
        <w:tabs>
          <w:tab w:val="right" w:pos="9480"/>
        </w:tabs>
        <w:jc w:val="center"/>
        <w:rPr>
          <w:rFonts w:eastAsia="SimSun" w:cstheme="minorHAnsi"/>
          <w:b/>
          <w:lang w:val="en-AU"/>
        </w:rPr>
      </w:pPr>
    </w:p>
    <w:p w14:paraId="4B9120A3" w14:textId="0350058F" w:rsidR="00F25D21" w:rsidRDefault="00F25D21" w:rsidP="00F25D21">
      <w:pPr>
        <w:tabs>
          <w:tab w:val="right" w:pos="9480"/>
        </w:tabs>
        <w:jc w:val="center"/>
        <w:rPr>
          <w:rFonts w:eastAsia="SimSun" w:cstheme="minorHAnsi"/>
          <w:b/>
          <w:lang w:val="en-AU"/>
        </w:rPr>
      </w:pPr>
      <w:r>
        <w:rPr>
          <w:rFonts w:eastAsia="SimSun" w:cstheme="minorHAnsi"/>
          <w:noProof/>
          <w:lang w:bidi="th-TH"/>
        </w:rPr>
        <w:drawing>
          <wp:inline distT="0" distB="0" distL="0" distR="0" wp14:anchorId="6F01F26F" wp14:editId="38BE6EA2">
            <wp:extent cx="2152650" cy="869315"/>
            <wp:effectExtent l="0" t="0" r="0" b="6985"/>
            <wp:docPr id="3" name="Picture 3"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and black 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183878" cy="882556"/>
                    </a:xfrm>
                    <a:prstGeom prst="rect">
                      <a:avLst/>
                    </a:prstGeom>
                    <a:noFill/>
                  </pic:spPr>
                </pic:pic>
              </a:graphicData>
            </a:graphic>
          </wp:inline>
        </w:drawing>
      </w:r>
      <w:bookmarkStart w:id="0" w:name="_Hlk491953039"/>
      <w:bookmarkEnd w:id="0"/>
    </w:p>
    <w:p w14:paraId="4FE7553E" w14:textId="77777777" w:rsidR="002E35E8" w:rsidRDefault="002E35E8" w:rsidP="00F25D21">
      <w:pPr>
        <w:tabs>
          <w:tab w:val="right" w:pos="9480"/>
        </w:tabs>
        <w:jc w:val="center"/>
        <w:rPr>
          <w:rFonts w:eastAsia="SimSun" w:cstheme="minorHAnsi"/>
          <w:b/>
          <w:lang w:val="en-AU"/>
        </w:rPr>
      </w:pPr>
    </w:p>
    <w:tbl>
      <w:tblPr>
        <w:tblStyle w:val="TableGrid"/>
        <w:tblW w:w="0" w:type="auto"/>
        <w:tblCellMar>
          <w:top w:w="57" w:type="dxa"/>
          <w:bottom w:w="57" w:type="dxa"/>
        </w:tblCellMar>
        <w:tblLook w:val="04A0" w:firstRow="1" w:lastRow="0" w:firstColumn="1" w:lastColumn="0" w:noHBand="0" w:noVBand="1"/>
      </w:tblPr>
      <w:tblGrid>
        <w:gridCol w:w="1696"/>
        <w:gridCol w:w="7320"/>
      </w:tblGrid>
      <w:tr w:rsidR="00F25D21" w:rsidRPr="004E39E9" w14:paraId="348632C8" w14:textId="77777777" w:rsidTr="002E35E8">
        <w:tc>
          <w:tcPr>
            <w:tcW w:w="1696" w:type="dxa"/>
          </w:tcPr>
          <w:p w14:paraId="0079B827" w14:textId="2244FD66" w:rsidR="00F25D21" w:rsidRPr="002E35E8" w:rsidRDefault="00F25D21" w:rsidP="004E39E9">
            <w:pPr>
              <w:rPr>
                <w:rFonts w:cstheme="minorHAnsi"/>
                <w:b/>
                <w:bCs/>
                <w:szCs w:val="22"/>
                <w:lang w:val="en-AU" w:eastAsia="en-AU"/>
              </w:rPr>
            </w:pPr>
            <w:r w:rsidRPr="002E35E8">
              <w:rPr>
                <w:rFonts w:cstheme="minorHAnsi"/>
                <w:b/>
                <w:bCs/>
                <w:szCs w:val="22"/>
                <w:lang w:val="en-AU" w:eastAsia="en-AU"/>
              </w:rPr>
              <w:t>APAC Blog #</w:t>
            </w:r>
            <w:r w:rsidR="00475E33" w:rsidRPr="002E35E8">
              <w:rPr>
                <w:rFonts w:cstheme="minorHAnsi"/>
                <w:b/>
                <w:bCs/>
                <w:szCs w:val="22"/>
                <w:lang w:val="en-AU" w:eastAsia="en-AU"/>
              </w:rPr>
              <w:t>:</w:t>
            </w:r>
          </w:p>
        </w:tc>
        <w:tc>
          <w:tcPr>
            <w:tcW w:w="7320" w:type="dxa"/>
          </w:tcPr>
          <w:p w14:paraId="589A5A47" w14:textId="50B98D07" w:rsidR="00F25D21" w:rsidRPr="004E39E9" w:rsidRDefault="00F25D21" w:rsidP="004E39E9">
            <w:pPr>
              <w:rPr>
                <w:rFonts w:cstheme="minorHAnsi"/>
                <w:szCs w:val="22"/>
                <w:lang w:val="en-AU" w:eastAsia="en-AU"/>
              </w:rPr>
            </w:pPr>
            <w:r w:rsidRPr="004E39E9">
              <w:rPr>
                <w:rFonts w:cstheme="minorHAnsi"/>
                <w:szCs w:val="22"/>
                <w:lang w:val="en-AU" w:eastAsia="en-AU"/>
              </w:rPr>
              <w:t>00</w:t>
            </w:r>
            <w:r w:rsidR="00F7016B">
              <w:rPr>
                <w:rFonts w:cstheme="minorHAnsi"/>
                <w:szCs w:val="22"/>
                <w:lang w:val="en-AU" w:eastAsia="en-AU"/>
              </w:rPr>
              <w:t>3</w:t>
            </w:r>
          </w:p>
        </w:tc>
      </w:tr>
      <w:tr w:rsidR="00F25D21" w:rsidRPr="004E39E9" w14:paraId="7F232B8C" w14:textId="77777777" w:rsidTr="002E35E8">
        <w:tc>
          <w:tcPr>
            <w:tcW w:w="1696" w:type="dxa"/>
          </w:tcPr>
          <w:p w14:paraId="1B56F18F" w14:textId="109C31C3" w:rsidR="00F25D21" w:rsidRPr="002E35E8" w:rsidRDefault="00F25D21" w:rsidP="004E39E9">
            <w:pPr>
              <w:rPr>
                <w:rFonts w:cstheme="minorHAnsi"/>
                <w:b/>
                <w:bCs/>
                <w:szCs w:val="22"/>
                <w:lang w:val="en-AU" w:eastAsia="en-AU"/>
              </w:rPr>
            </w:pPr>
            <w:r w:rsidRPr="002E35E8">
              <w:rPr>
                <w:rFonts w:cstheme="minorHAnsi"/>
                <w:b/>
                <w:bCs/>
                <w:szCs w:val="22"/>
                <w:lang w:val="en-AU" w:eastAsia="en-AU"/>
              </w:rPr>
              <w:t>Title</w:t>
            </w:r>
            <w:r w:rsidR="00475E33" w:rsidRPr="002E35E8">
              <w:rPr>
                <w:rFonts w:cstheme="minorHAnsi"/>
                <w:b/>
                <w:bCs/>
                <w:szCs w:val="22"/>
                <w:lang w:val="en-AU" w:eastAsia="en-AU"/>
              </w:rPr>
              <w:t>:</w:t>
            </w:r>
          </w:p>
        </w:tc>
        <w:tc>
          <w:tcPr>
            <w:tcW w:w="7320" w:type="dxa"/>
          </w:tcPr>
          <w:p w14:paraId="717DB8B0" w14:textId="3F0F1DE8" w:rsidR="00F25D21" w:rsidRPr="004E39E9" w:rsidRDefault="00F25D21" w:rsidP="00D94FF7">
            <w:pPr>
              <w:rPr>
                <w:rFonts w:cstheme="minorHAnsi"/>
                <w:szCs w:val="22"/>
                <w:lang w:val="en-AU" w:eastAsia="en-AU"/>
              </w:rPr>
            </w:pPr>
            <w:r w:rsidRPr="004E39E9">
              <w:rPr>
                <w:rFonts w:cstheme="minorHAnsi"/>
                <w:szCs w:val="22"/>
                <w:lang w:val="en-AU" w:eastAsia="en-AU"/>
              </w:rPr>
              <w:t xml:space="preserve">Interview with </w:t>
            </w:r>
            <w:r w:rsidR="00D94FF7">
              <w:rPr>
                <w:rFonts w:cstheme="minorHAnsi"/>
                <w:szCs w:val="22"/>
                <w:lang w:val="en-AU" w:eastAsia="en-AU"/>
              </w:rPr>
              <w:t xml:space="preserve">Mr. </w:t>
            </w:r>
            <w:r w:rsidR="00D94FF7" w:rsidRPr="00D94FF7">
              <w:rPr>
                <w:rFonts w:cstheme="minorHAnsi"/>
                <w:szCs w:val="22"/>
                <w:lang w:val="en-AU" w:eastAsia="en-AU"/>
              </w:rPr>
              <w:t>Trace McInturff</w:t>
            </w:r>
            <w:r w:rsidR="00D94FF7">
              <w:rPr>
                <w:rFonts w:cstheme="minorHAnsi"/>
                <w:szCs w:val="22"/>
                <w:lang w:val="en-AU" w:eastAsia="en-AU"/>
              </w:rPr>
              <w:t>, APAC MRA Council Chair and A</w:t>
            </w:r>
            <w:r w:rsidR="00D94FF7" w:rsidRPr="00D94FF7">
              <w:rPr>
                <w:rFonts w:cstheme="minorHAnsi"/>
                <w:szCs w:val="22"/>
                <w:lang w:val="en-AU" w:eastAsia="en-AU"/>
              </w:rPr>
              <w:t>2LA</w:t>
            </w:r>
            <w:r w:rsidR="00D94FF7">
              <w:rPr>
                <w:rFonts w:cstheme="minorHAnsi"/>
                <w:szCs w:val="22"/>
                <w:lang w:val="en-AU" w:eastAsia="en-AU"/>
              </w:rPr>
              <w:t xml:space="preserve"> </w:t>
            </w:r>
            <w:r w:rsidR="00D94FF7" w:rsidRPr="00D94FF7">
              <w:rPr>
                <w:rFonts w:cstheme="minorHAnsi"/>
                <w:szCs w:val="22"/>
                <w:lang w:val="en-AU" w:eastAsia="en-AU"/>
              </w:rPr>
              <w:t>Vice President, Accreditation Services</w:t>
            </w:r>
          </w:p>
        </w:tc>
      </w:tr>
      <w:tr w:rsidR="00F25D21" w:rsidRPr="004E39E9" w14:paraId="0F9A1C01" w14:textId="77777777" w:rsidTr="002E35E8">
        <w:tc>
          <w:tcPr>
            <w:tcW w:w="1696" w:type="dxa"/>
          </w:tcPr>
          <w:p w14:paraId="034AA48E" w14:textId="532DD317" w:rsidR="00F25D21" w:rsidRPr="002E35E8" w:rsidRDefault="00475E33" w:rsidP="004E39E9">
            <w:pPr>
              <w:rPr>
                <w:rFonts w:cstheme="minorHAnsi"/>
                <w:b/>
                <w:bCs/>
                <w:szCs w:val="22"/>
                <w:lang w:val="en-AU" w:eastAsia="en-AU"/>
              </w:rPr>
            </w:pPr>
            <w:r w:rsidRPr="002E35E8">
              <w:rPr>
                <w:rFonts w:cstheme="minorHAnsi"/>
                <w:b/>
                <w:bCs/>
                <w:szCs w:val="22"/>
                <w:lang w:val="en-AU" w:eastAsia="en-AU"/>
              </w:rPr>
              <w:t>Topic:</w:t>
            </w:r>
          </w:p>
        </w:tc>
        <w:tc>
          <w:tcPr>
            <w:tcW w:w="7320" w:type="dxa"/>
          </w:tcPr>
          <w:p w14:paraId="61979774" w14:textId="60B844EB" w:rsidR="00F25D21" w:rsidRPr="004E39E9" w:rsidRDefault="005E6F90" w:rsidP="004E39E9">
            <w:pPr>
              <w:rPr>
                <w:rFonts w:cstheme="minorHAnsi"/>
                <w:szCs w:val="22"/>
                <w:lang w:val="en-AU" w:eastAsia="en-AU"/>
              </w:rPr>
            </w:pPr>
            <w:r w:rsidRPr="004E39E9">
              <w:rPr>
                <w:rFonts w:cstheme="minorHAnsi"/>
                <w:szCs w:val="22"/>
                <w:lang w:val="en-AU" w:eastAsia="en-AU"/>
              </w:rPr>
              <w:t xml:space="preserve">Accreditation and </w:t>
            </w:r>
            <w:r w:rsidR="00D94FF7">
              <w:rPr>
                <w:rFonts w:cstheme="minorHAnsi"/>
                <w:szCs w:val="22"/>
                <w:lang w:val="en-AU" w:eastAsia="en-AU"/>
              </w:rPr>
              <w:t>artificial intelligence</w:t>
            </w:r>
          </w:p>
        </w:tc>
      </w:tr>
      <w:tr w:rsidR="00475E33" w:rsidRPr="004E39E9" w14:paraId="0901CCD5" w14:textId="77777777" w:rsidTr="002E35E8">
        <w:tc>
          <w:tcPr>
            <w:tcW w:w="1696" w:type="dxa"/>
          </w:tcPr>
          <w:p w14:paraId="17D9319F" w14:textId="2007FD9D" w:rsidR="00475E33" w:rsidRPr="002E35E8" w:rsidRDefault="00475E33" w:rsidP="004E39E9">
            <w:pPr>
              <w:rPr>
                <w:rFonts w:cstheme="minorHAnsi"/>
                <w:b/>
                <w:bCs/>
                <w:szCs w:val="22"/>
                <w:lang w:val="en-AU" w:eastAsia="en-AU"/>
              </w:rPr>
            </w:pPr>
            <w:r w:rsidRPr="002E35E8">
              <w:rPr>
                <w:rFonts w:cstheme="minorHAnsi"/>
                <w:b/>
                <w:bCs/>
                <w:szCs w:val="22"/>
                <w:lang w:val="en-AU" w:eastAsia="en-AU"/>
              </w:rPr>
              <w:t>Submitted by:</w:t>
            </w:r>
          </w:p>
        </w:tc>
        <w:tc>
          <w:tcPr>
            <w:tcW w:w="7320" w:type="dxa"/>
          </w:tcPr>
          <w:p w14:paraId="02516E51" w14:textId="5B0EA3A6" w:rsidR="00475E33" w:rsidRPr="004E39E9" w:rsidRDefault="00475E33" w:rsidP="004E39E9">
            <w:pPr>
              <w:rPr>
                <w:rFonts w:cstheme="minorHAnsi"/>
                <w:szCs w:val="22"/>
                <w:lang w:val="en-AU" w:eastAsia="en-AU"/>
              </w:rPr>
            </w:pPr>
            <w:r w:rsidRPr="004E39E9">
              <w:rPr>
                <w:rFonts w:cstheme="minorHAnsi"/>
                <w:szCs w:val="22"/>
                <w:lang w:val="en-AU" w:eastAsia="en-AU"/>
              </w:rPr>
              <w:t>Dr. Aparna Dhawan, APAC Communications and Promotion Committee (CPC) Chair</w:t>
            </w:r>
          </w:p>
        </w:tc>
      </w:tr>
      <w:tr w:rsidR="00475E33" w:rsidRPr="004E39E9" w14:paraId="57877EAF" w14:textId="77777777" w:rsidTr="002E35E8">
        <w:tc>
          <w:tcPr>
            <w:tcW w:w="1696" w:type="dxa"/>
          </w:tcPr>
          <w:p w14:paraId="1011BA18" w14:textId="6F1A28DC" w:rsidR="00475E33" w:rsidRPr="002E35E8" w:rsidRDefault="00475E33" w:rsidP="004E39E9">
            <w:pPr>
              <w:rPr>
                <w:rFonts w:cstheme="minorHAnsi"/>
                <w:b/>
                <w:bCs/>
                <w:szCs w:val="22"/>
                <w:lang w:val="en-AU" w:eastAsia="en-AU"/>
              </w:rPr>
            </w:pPr>
            <w:r w:rsidRPr="002E35E8">
              <w:rPr>
                <w:rFonts w:cstheme="minorHAnsi"/>
                <w:b/>
                <w:bCs/>
                <w:szCs w:val="22"/>
                <w:lang w:val="en-AU" w:eastAsia="en-AU"/>
              </w:rPr>
              <w:t>Date published:</w:t>
            </w:r>
          </w:p>
        </w:tc>
        <w:tc>
          <w:tcPr>
            <w:tcW w:w="7320" w:type="dxa"/>
          </w:tcPr>
          <w:p w14:paraId="131CEB9C" w14:textId="66BFBF9C" w:rsidR="00475E33" w:rsidRPr="004E39E9" w:rsidRDefault="00D94FF7" w:rsidP="004E39E9">
            <w:pPr>
              <w:rPr>
                <w:rFonts w:cstheme="minorHAnsi"/>
                <w:szCs w:val="22"/>
                <w:lang w:val="en-AU" w:eastAsia="en-AU"/>
              </w:rPr>
            </w:pPr>
            <w:r>
              <w:rPr>
                <w:rFonts w:cstheme="minorHAnsi"/>
                <w:szCs w:val="22"/>
                <w:lang w:val="en-AU" w:eastAsia="en-AU"/>
              </w:rPr>
              <w:t>2024-06-28</w:t>
            </w:r>
            <w:r w:rsidR="004E39E9" w:rsidRPr="004E39E9">
              <w:rPr>
                <w:rFonts w:cstheme="minorHAnsi"/>
                <w:szCs w:val="22"/>
                <w:lang w:val="en-AU" w:eastAsia="en-AU"/>
              </w:rPr>
              <w:t xml:space="preserve"> </w:t>
            </w:r>
          </w:p>
        </w:tc>
      </w:tr>
    </w:tbl>
    <w:p w14:paraId="018B3B53" w14:textId="77777777" w:rsidR="00104567" w:rsidRPr="004E39E9" w:rsidRDefault="00104567" w:rsidP="004E39E9">
      <w:pPr>
        <w:spacing w:after="0" w:line="240" w:lineRule="auto"/>
        <w:rPr>
          <w:rFonts w:cstheme="minorHAnsi"/>
          <w:szCs w:val="22"/>
          <w:lang w:val="en-AU" w:eastAsia="en-AU"/>
        </w:rPr>
      </w:pPr>
    </w:p>
    <w:p w14:paraId="354CAD4D" w14:textId="780D4206" w:rsidR="00104567" w:rsidRPr="00312E18" w:rsidRDefault="00104567" w:rsidP="004E39E9">
      <w:pPr>
        <w:spacing w:after="0" w:line="240" w:lineRule="auto"/>
        <w:rPr>
          <w:rFonts w:cstheme="minorHAnsi"/>
          <w:i/>
          <w:iCs/>
          <w:color w:val="A6A6A6" w:themeColor="background1" w:themeShade="A6"/>
          <w:sz w:val="20"/>
          <w:lang w:val="en-AU" w:eastAsia="en-AU"/>
        </w:rPr>
      </w:pPr>
      <w:r w:rsidRPr="00312E18">
        <w:rPr>
          <w:rFonts w:cstheme="minorHAnsi"/>
          <w:i/>
          <w:iCs/>
          <w:color w:val="A6A6A6" w:themeColor="background1" w:themeShade="A6"/>
          <w:sz w:val="20"/>
          <w:lang w:val="en-AU" w:eastAsia="en-AU"/>
        </w:rPr>
        <w:t xml:space="preserve">All APAC blogs can be found on the </w:t>
      </w:r>
      <w:hyperlink r:id="rId8" w:history="1">
        <w:r w:rsidRPr="00312E18">
          <w:rPr>
            <w:rStyle w:val="Hyperlink"/>
            <w:rFonts w:cstheme="minorHAnsi"/>
            <w:i/>
            <w:iCs/>
            <w:color w:val="A6A6A6" w:themeColor="background1" w:themeShade="A6"/>
            <w:sz w:val="20"/>
            <w:lang w:val="en-AU" w:eastAsia="en-AU"/>
          </w:rPr>
          <w:t>APAC Publications</w:t>
        </w:r>
      </w:hyperlink>
      <w:r w:rsidRPr="00312E18">
        <w:rPr>
          <w:rFonts w:cstheme="minorHAnsi"/>
          <w:i/>
          <w:iCs/>
          <w:color w:val="A6A6A6" w:themeColor="background1" w:themeShade="A6"/>
          <w:sz w:val="20"/>
          <w:lang w:val="en-AU" w:eastAsia="en-AU"/>
        </w:rPr>
        <w:t xml:space="preserve"> webpage.</w:t>
      </w:r>
    </w:p>
    <w:p w14:paraId="2724AC5C" w14:textId="77777777" w:rsidR="004E39E9" w:rsidRDefault="004E39E9" w:rsidP="004E39E9">
      <w:pPr>
        <w:spacing w:after="0" w:line="240" w:lineRule="auto"/>
        <w:rPr>
          <w:rFonts w:cstheme="minorHAnsi"/>
          <w:color w:val="A6A6A6" w:themeColor="background1" w:themeShade="A6"/>
          <w:sz w:val="20"/>
          <w:lang w:val="en-AU" w:eastAsia="en-AU"/>
        </w:rPr>
      </w:pPr>
    </w:p>
    <w:p w14:paraId="306A09B8" w14:textId="77777777" w:rsidR="002E35E8" w:rsidRPr="002E35E8" w:rsidRDefault="002E35E8" w:rsidP="004E39E9">
      <w:pPr>
        <w:spacing w:after="0" w:line="240" w:lineRule="auto"/>
        <w:rPr>
          <w:rFonts w:cstheme="minorHAnsi"/>
          <w:color w:val="A6A6A6" w:themeColor="background1" w:themeShade="A6"/>
          <w:sz w:val="20"/>
          <w:lang w:val="en-AU" w:eastAsia="en-AU"/>
        </w:rPr>
      </w:pPr>
    </w:p>
    <w:p w14:paraId="4036F9B8" w14:textId="24DB5C72" w:rsidR="005E6F90" w:rsidRPr="002E35E8" w:rsidRDefault="00000000" w:rsidP="004E39E9">
      <w:pPr>
        <w:spacing w:after="0" w:line="240" w:lineRule="auto"/>
        <w:jc w:val="both"/>
        <w:rPr>
          <w:rFonts w:cstheme="minorHAnsi"/>
          <w:i/>
          <w:iCs/>
          <w:color w:val="000000" w:themeColor="text1"/>
          <w:sz w:val="20"/>
        </w:rPr>
      </w:pPr>
      <w:hyperlink r:id="rId9" w:history="1">
        <w:r w:rsidR="00475E33" w:rsidRPr="002E35E8">
          <w:rPr>
            <w:rStyle w:val="Hyperlink"/>
            <w:rFonts w:cstheme="minorHAnsi"/>
            <w:i/>
            <w:iCs/>
            <w:sz w:val="20"/>
          </w:rPr>
          <w:t>APAC</w:t>
        </w:r>
      </w:hyperlink>
      <w:r w:rsidR="00475E33" w:rsidRPr="002E35E8">
        <w:rPr>
          <w:rFonts w:cstheme="minorHAnsi"/>
          <w:i/>
          <w:iCs/>
          <w:color w:val="000000" w:themeColor="text1"/>
          <w:sz w:val="20"/>
        </w:rPr>
        <w:t xml:space="preserve"> is the regional accreditation cooperation for the Asia Pacific region with the purpose to </w:t>
      </w:r>
      <w:r w:rsidR="008227A7" w:rsidRPr="002E35E8">
        <w:rPr>
          <w:rFonts w:cstheme="minorHAnsi"/>
          <w:i/>
          <w:iCs/>
          <w:color w:val="000000" w:themeColor="text1"/>
          <w:sz w:val="20"/>
        </w:rPr>
        <w:t xml:space="preserve">develop and </w:t>
      </w:r>
      <w:r w:rsidR="00475E33" w:rsidRPr="002E35E8">
        <w:rPr>
          <w:rFonts w:cstheme="minorHAnsi"/>
          <w:i/>
          <w:iCs/>
          <w:color w:val="000000" w:themeColor="text1"/>
          <w:sz w:val="20"/>
        </w:rPr>
        <w:t xml:space="preserve">manage a mutual recognition arrangement (MRA) among </w:t>
      </w:r>
      <w:r w:rsidR="005E6F90" w:rsidRPr="002E35E8">
        <w:rPr>
          <w:rFonts w:cstheme="minorHAnsi"/>
          <w:i/>
          <w:iCs/>
          <w:color w:val="000000" w:themeColor="text1"/>
          <w:sz w:val="20"/>
        </w:rPr>
        <w:t xml:space="preserve">its </w:t>
      </w:r>
      <w:hyperlink r:id="rId10" w:history="1">
        <w:r w:rsidR="005E6F90" w:rsidRPr="002E35E8">
          <w:rPr>
            <w:rStyle w:val="Hyperlink"/>
            <w:rFonts w:cstheme="minorHAnsi"/>
            <w:i/>
            <w:iCs/>
            <w:sz w:val="20"/>
          </w:rPr>
          <w:t>accreditation body members</w:t>
        </w:r>
      </w:hyperlink>
      <w:r w:rsidR="005E6F90" w:rsidRPr="002E35E8">
        <w:rPr>
          <w:rFonts w:cstheme="minorHAnsi"/>
          <w:i/>
          <w:iCs/>
          <w:color w:val="000000" w:themeColor="text1"/>
          <w:sz w:val="20"/>
        </w:rPr>
        <w:t xml:space="preserve">. The </w:t>
      </w:r>
      <w:hyperlink r:id="rId11" w:history="1">
        <w:r w:rsidR="008227A7" w:rsidRPr="002E35E8">
          <w:rPr>
            <w:rStyle w:val="Hyperlink"/>
            <w:rFonts w:cstheme="minorHAnsi"/>
            <w:i/>
            <w:iCs/>
            <w:sz w:val="20"/>
          </w:rPr>
          <w:t xml:space="preserve">APAC </w:t>
        </w:r>
        <w:r w:rsidR="005E6F90" w:rsidRPr="002E35E8">
          <w:rPr>
            <w:rStyle w:val="Hyperlink"/>
            <w:rFonts w:cstheme="minorHAnsi"/>
            <w:i/>
            <w:iCs/>
            <w:sz w:val="20"/>
          </w:rPr>
          <w:t>MRA</w:t>
        </w:r>
      </w:hyperlink>
      <w:r w:rsidR="00475E33" w:rsidRPr="002E35E8">
        <w:rPr>
          <w:rFonts w:cstheme="minorHAnsi"/>
          <w:i/>
          <w:iCs/>
          <w:color w:val="000000" w:themeColor="text1"/>
          <w:sz w:val="20"/>
        </w:rPr>
        <w:t xml:space="preserve"> facilitat</w:t>
      </w:r>
      <w:r w:rsidR="005E6F90" w:rsidRPr="002E35E8">
        <w:rPr>
          <w:rFonts w:cstheme="minorHAnsi"/>
          <w:i/>
          <w:iCs/>
          <w:color w:val="000000" w:themeColor="text1"/>
          <w:sz w:val="20"/>
        </w:rPr>
        <w:t>es</w:t>
      </w:r>
      <w:r w:rsidR="00475E33" w:rsidRPr="002E35E8">
        <w:rPr>
          <w:rFonts w:cstheme="minorHAnsi"/>
          <w:i/>
          <w:iCs/>
          <w:color w:val="000000" w:themeColor="text1"/>
          <w:sz w:val="20"/>
        </w:rPr>
        <w:t xml:space="preserve"> the </w:t>
      </w:r>
      <w:r w:rsidR="005E6F90" w:rsidRPr="002E35E8">
        <w:rPr>
          <w:rFonts w:cstheme="minorHAnsi"/>
          <w:i/>
          <w:iCs/>
          <w:color w:val="000000" w:themeColor="text1"/>
          <w:sz w:val="20"/>
        </w:rPr>
        <w:t xml:space="preserve">international </w:t>
      </w:r>
      <w:r w:rsidR="00475E33" w:rsidRPr="002E35E8">
        <w:rPr>
          <w:rFonts w:cstheme="minorHAnsi"/>
          <w:i/>
          <w:iCs/>
          <w:color w:val="000000" w:themeColor="text1"/>
          <w:sz w:val="20"/>
        </w:rPr>
        <w:t>acceptance of conformity assessment results</w:t>
      </w:r>
      <w:r w:rsidR="005E6F90" w:rsidRPr="002E35E8">
        <w:rPr>
          <w:rFonts w:cstheme="minorHAnsi"/>
          <w:i/>
          <w:iCs/>
          <w:color w:val="000000" w:themeColor="text1"/>
          <w:sz w:val="20"/>
        </w:rPr>
        <w:t xml:space="preserve"> from accredited conformity assessment bodies (e.g. calibration and testing laboratories, certification bodies, inspection bodies</w:t>
      </w:r>
      <w:r w:rsidR="00D94FF7">
        <w:rPr>
          <w:rFonts w:cstheme="minorHAnsi"/>
          <w:i/>
          <w:iCs/>
          <w:color w:val="000000" w:themeColor="text1"/>
          <w:sz w:val="20"/>
        </w:rPr>
        <w:t>, proficiency testing providers, reference material producers,</w:t>
      </w:r>
      <w:r w:rsidR="005E6F90" w:rsidRPr="002E35E8">
        <w:rPr>
          <w:rFonts w:cstheme="minorHAnsi"/>
          <w:i/>
          <w:iCs/>
          <w:color w:val="000000" w:themeColor="text1"/>
          <w:sz w:val="20"/>
        </w:rPr>
        <w:t xml:space="preserve"> and validation/verification bodies). APAC is the regional accreditation cooperation </w:t>
      </w:r>
      <w:r w:rsidR="00104567" w:rsidRPr="002E35E8">
        <w:rPr>
          <w:rFonts w:cstheme="minorHAnsi"/>
          <w:i/>
          <w:iCs/>
          <w:color w:val="000000" w:themeColor="text1"/>
          <w:sz w:val="20"/>
        </w:rPr>
        <w:t xml:space="preserve">for the Asia </w:t>
      </w:r>
      <w:r w:rsidR="00294411" w:rsidRPr="002E35E8">
        <w:rPr>
          <w:rFonts w:cstheme="minorHAnsi"/>
          <w:i/>
          <w:iCs/>
          <w:color w:val="000000" w:themeColor="text1"/>
          <w:sz w:val="20"/>
        </w:rPr>
        <w:t>Pacific</w:t>
      </w:r>
      <w:r w:rsidR="00104567" w:rsidRPr="002E35E8">
        <w:rPr>
          <w:rFonts w:cstheme="minorHAnsi"/>
          <w:i/>
          <w:iCs/>
          <w:color w:val="000000" w:themeColor="text1"/>
          <w:sz w:val="20"/>
        </w:rPr>
        <w:t xml:space="preserve"> region </w:t>
      </w:r>
      <w:r w:rsidR="005E6F90" w:rsidRPr="002E35E8">
        <w:rPr>
          <w:rFonts w:cstheme="minorHAnsi"/>
          <w:i/>
          <w:iCs/>
          <w:color w:val="000000" w:themeColor="text1"/>
          <w:sz w:val="20"/>
        </w:rPr>
        <w:t xml:space="preserve">recognised by the </w:t>
      </w:r>
      <w:hyperlink r:id="rId12" w:history="1">
        <w:r w:rsidR="005E6F90" w:rsidRPr="002E35E8">
          <w:rPr>
            <w:rStyle w:val="Hyperlink"/>
            <w:rFonts w:cstheme="minorHAnsi"/>
            <w:i/>
            <w:iCs/>
            <w:sz w:val="20"/>
          </w:rPr>
          <w:t>International Accreditation Forum</w:t>
        </w:r>
      </w:hyperlink>
      <w:r w:rsidR="005E6F90" w:rsidRPr="002E35E8">
        <w:rPr>
          <w:rFonts w:cstheme="minorHAnsi"/>
          <w:i/>
          <w:iCs/>
          <w:color w:val="000000" w:themeColor="text1"/>
          <w:sz w:val="20"/>
        </w:rPr>
        <w:t xml:space="preserve"> (IAF) and </w:t>
      </w:r>
      <w:hyperlink r:id="rId13" w:history="1">
        <w:r w:rsidR="005E6F90" w:rsidRPr="002E35E8">
          <w:rPr>
            <w:rStyle w:val="Hyperlink"/>
            <w:rFonts w:cstheme="minorHAnsi"/>
            <w:i/>
            <w:iCs/>
            <w:sz w:val="20"/>
          </w:rPr>
          <w:t>International Laboratory Accreditation Cooperation</w:t>
        </w:r>
      </w:hyperlink>
      <w:r w:rsidR="005E6F90" w:rsidRPr="002E35E8">
        <w:rPr>
          <w:rFonts w:cstheme="minorHAnsi"/>
          <w:i/>
          <w:iCs/>
          <w:color w:val="000000" w:themeColor="text1"/>
          <w:sz w:val="20"/>
        </w:rPr>
        <w:t xml:space="preserve"> (ILAC). </w:t>
      </w:r>
    </w:p>
    <w:p w14:paraId="5A19DC10" w14:textId="77777777" w:rsidR="00104567" w:rsidRPr="004E39E9" w:rsidRDefault="00104567" w:rsidP="004E39E9">
      <w:pPr>
        <w:spacing w:after="0" w:line="240" w:lineRule="auto"/>
        <w:jc w:val="both"/>
        <w:rPr>
          <w:rFonts w:cstheme="minorHAnsi"/>
          <w:b/>
          <w:bCs/>
          <w:color w:val="000000" w:themeColor="text1"/>
          <w:szCs w:val="22"/>
        </w:rPr>
      </w:pPr>
    </w:p>
    <w:p w14:paraId="55864EA0" w14:textId="1F7587D9" w:rsidR="00EA7FE3" w:rsidRDefault="00EA7FE3" w:rsidP="00EA7FE3">
      <w:pPr>
        <w:spacing w:after="0" w:line="240" w:lineRule="auto"/>
        <w:rPr>
          <w:rFonts w:cstheme="minorHAnsi"/>
          <w:b/>
          <w:bCs/>
          <w:color w:val="000000" w:themeColor="text1"/>
          <w:sz w:val="28"/>
          <w:szCs w:val="28"/>
        </w:rPr>
      </w:pPr>
      <w:r w:rsidRPr="00EA7FE3">
        <w:rPr>
          <w:rFonts w:cstheme="minorHAnsi"/>
          <w:b/>
          <w:bCs/>
          <w:color w:val="000000" w:themeColor="text1"/>
          <w:sz w:val="28"/>
          <w:szCs w:val="28"/>
        </w:rPr>
        <w:t>APAC BLOG #</w:t>
      </w:r>
      <w:r w:rsidR="00D94FF7">
        <w:rPr>
          <w:rFonts w:cstheme="minorHAnsi"/>
          <w:b/>
          <w:bCs/>
          <w:color w:val="000000" w:themeColor="text1"/>
          <w:sz w:val="28"/>
          <w:szCs w:val="28"/>
        </w:rPr>
        <w:t>3</w:t>
      </w:r>
    </w:p>
    <w:p w14:paraId="4A66DF9B" w14:textId="2E3D2F14" w:rsidR="00312E18" w:rsidRDefault="00D94FF7" w:rsidP="004E39E9">
      <w:pPr>
        <w:spacing w:after="0" w:line="240" w:lineRule="auto"/>
        <w:jc w:val="both"/>
        <w:rPr>
          <w:rFonts w:cstheme="minorHAnsi"/>
          <w:b/>
          <w:bCs/>
          <w:color w:val="000000" w:themeColor="text1"/>
          <w:sz w:val="28"/>
          <w:szCs w:val="28"/>
        </w:rPr>
      </w:pPr>
      <w:r w:rsidRPr="00D94FF7">
        <w:rPr>
          <w:rFonts w:cstheme="minorHAnsi"/>
          <w:b/>
          <w:bCs/>
          <w:color w:val="000000" w:themeColor="text1"/>
          <w:sz w:val="28"/>
          <w:szCs w:val="28"/>
        </w:rPr>
        <w:t>Interview with Mr. Trace McInturff, APAC MRA Council Chair and A2LA Vice President, Accreditation Services</w:t>
      </w:r>
    </w:p>
    <w:p w14:paraId="50AC68AF" w14:textId="77777777" w:rsidR="00D94FF7" w:rsidRDefault="00D94FF7" w:rsidP="004E39E9">
      <w:pPr>
        <w:spacing w:after="0" w:line="240" w:lineRule="auto"/>
        <w:jc w:val="both"/>
        <w:rPr>
          <w:rFonts w:cstheme="minorHAnsi"/>
          <w:b/>
          <w:bCs/>
          <w:color w:val="000000" w:themeColor="text1"/>
          <w:szCs w:val="22"/>
        </w:rPr>
      </w:pPr>
    </w:p>
    <w:p w14:paraId="747E6E13" w14:textId="77777777" w:rsidR="00D94FF7" w:rsidRPr="00100419" w:rsidRDefault="00D94FF7" w:rsidP="00100419">
      <w:pPr>
        <w:pStyle w:val="x210615018xxmsonormal"/>
        <w:numPr>
          <w:ilvl w:val="0"/>
          <w:numId w:val="5"/>
        </w:numPr>
        <w:spacing w:before="120" w:beforeAutospacing="0" w:after="120" w:afterAutospacing="0"/>
        <w:jc w:val="both"/>
        <w:rPr>
          <w:rStyle w:val="size"/>
          <w:rFonts w:asciiTheme="minorHAnsi" w:eastAsia="Times New Roman" w:hAnsiTheme="minorHAnsi" w:cstheme="minorHAnsi"/>
          <w:color w:val="0070C0"/>
          <w:sz w:val="22"/>
          <w:szCs w:val="22"/>
        </w:rPr>
      </w:pPr>
      <w:r w:rsidRPr="00100419">
        <w:rPr>
          <w:rStyle w:val="size"/>
          <w:rFonts w:asciiTheme="minorHAnsi" w:eastAsia="Times New Roman" w:hAnsiTheme="minorHAnsi" w:cstheme="minorHAnsi"/>
          <w:color w:val="0070C0"/>
          <w:sz w:val="22"/>
          <w:szCs w:val="22"/>
        </w:rPr>
        <w:t>The AI landscape is fast evolving and standards and regulatory requirements have a key role to play in this evolving landscape. The standards and regulations (like EU AI Act) are emphasizing on risk management framework. Can you share the views on ways the risk approach should support in harmonized implementation.</w:t>
      </w:r>
    </w:p>
    <w:p w14:paraId="3151B7F4" w14:textId="77777777" w:rsidR="00D94FF7" w:rsidRPr="00100419" w:rsidRDefault="00D94FF7" w:rsidP="00100419">
      <w:pPr>
        <w:pStyle w:val="x210615018xxmsonormal"/>
        <w:spacing w:before="120" w:beforeAutospacing="0" w:after="120" w:afterAutospacing="0"/>
        <w:ind w:left="360"/>
        <w:jc w:val="both"/>
        <w:rPr>
          <w:rFonts w:asciiTheme="minorHAnsi" w:hAnsiTheme="minorHAnsi" w:cstheme="minorHAnsi"/>
          <w:color w:val="000000"/>
          <w:sz w:val="22"/>
          <w:szCs w:val="22"/>
        </w:rPr>
      </w:pPr>
      <w:r w:rsidRPr="00100419">
        <w:rPr>
          <w:rFonts w:asciiTheme="minorHAnsi" w:eastAsia="Times New Roman" w:hAnsiTheme="minorHAnsi" w:cstheme="minorHAnsi"/>
          <w:color w:val="000000"/>
          <w:sz w:val="22"/>
          <w:szCs w:val="22"/>
        </w:rPr>
        <w:t xml:space="preserve">It would be difficult to suggest a unique risk approach that should support a harmonized implementation. A comprehensive risk management approach for AI systems involves balancing trade-offs between trustworthiness characteristics. This includes identifying, assessing, and managing risks associated with using AI technologies. </w:t>
      </w:r>
    </w:p>
    <w:p w14:paraId="270AD898" w14:textId="77777777" w:rsidR="00D94FF7" w:rsidRPr="00100419" w:rsidRDefault="00D94FF7" w:rsidP="00100419">
      <w:pPr>
        <w:pStyle w:val="x210615018xxmsonormal"/>
        <w:spacing w:before="120" w:beforeAutospacing="0" w:after="120" w:afterAutospacing="0"/>
        <w:ind w:left="360"/>
        <w:jc w:val="both"/>
        <w:rPr>
          <w:rFonts w:asciiTheme="minorHAnsi" w:eastAsia="Times New Roman" w:hAnsiTheme="minorHAnsi" w:cstheme="minorHAnsi"/>
          <w:color w:val="000000"/>
          <w:sz w:val="22"/>
          <w:szCs w:val="22"/>
        </w:rPr>
      </w:pPr>
      <w:r w:rsidRPr="00100419">
        <w:rPr>
          <w:rFonts w:asciiTheme="minorHAnsi" w:eastAsia="Times New Roman" w:hAnsiTheme="minorHAnsi" w:cstheme="minorHAnsi"/>
          <w:color w:val="000000"/>
          <w:sz w:val="22"/>
          <w:szCs w:val="22"/>
        </w:rPr>
        <w:t xml:space="preserve">These risks can be technical, such as security vulnerabilities or algorithmic bias, or non-technical, such as ethical considerations or regulatory compliance.  </w:t>
      </w:r>
    </w:p>
    <w:p w14:paraId="66240799" w14:textId="77777777" w:rsidR="00D94FF7" w:rsidRDefault="00D94FF7" w:rsidP="00100419">
      <w:pPr>
        <w:pStyle w:val="x210615018xxmsonormal"/>
        <w:spacing w:before="120" w:beforeAutospacing="0" w:after="120" w:afterAutospacing="0"/>
        <w:ind w:left="360"/>
        <w:jc w:val="both"/>
        <w:rPr>
          <w:rFonts w:asciiTheme="minorHAnsi" w:eastAsia="Times New Roman" w:hAnsiTheme="minorHAnsi" w:cstheme="minorHAnsi"/>
          <w:sz w:val="22"/>
          <w:szCs w:val="22"/>
        </w:rPr>
      </w:pPr>
      <w:r w:rsidRPr="00100419">
        <w:rPr>
          <w:rFonts w:asciiTheme="minorHAnsi" w:eastAsia="Times New Roman" w:hAnsiTheme="minorHAnsi" w:cstheme="minorHAnsi"/>
          <w:color w:val="000000"/>
          <w:sz w:val="22"/>
          <w:szCs w:val="22"/>
        </w:rPr>
        <w:t xml:space="preserve">The decision to deploy an AI system should be based on a contextual assessment of trustworthiness characteristics and the relative risks, impacts, costs, and benefits. This should be informed by a broad set of interested parties, including product, engineering, science, sales, and security teams. Risk assessment is also a human-centric activity that requires organization-wide </w:t>
      </w:r>
      <w:r w:rsidRPr="00100419">
        <w:rPr>
          <w:rFonts w:asciiTheme="minorHAnsi" w:eastAsia="Times New Roman" w:hAnsiTheme="minorHAnsi" w:cstheme="minorHAnsi"/>
          <w:color w:val="000000"/>
          <w:sz w:val="22"/>
          <w:szCs w:val="22"/>
        </w:rPr>
        <w:lastRenderedPageBreak/>
        <w:t xml:space="preserve">efforts. </w:t>
      </w:r>
      <w:r w:rsidRPr="00100419">
        <w:rPr>
          <w:rFonts w:asciiTheme="minorHAnsi" w:eastAsia="Times New Roman" w:hAnsiTheme="minorHAnsi" w:cstheme="minorHAnsi"/>
          <w:sz w:val="22"/>
          <w:szCs w:val="22"/>
        </w:rPr>
        <w:t>There will always be risks involved in these processes but there should be a standardized way to document and track them to minimize their effect on the overall conformity.</w:t>
      </w:r>
    </w:p>
    <w:p w14:paraId="4833DC05" w14:textId="77777777" w:rsidR="00100419" w:rsidRPr="00100419" w:rsidRDefault="00100419" w:rsidP="00100419">
      <w:pPr>
        <w:pStyle w:val="x210615018xxmsonormal"/>
        <w:spacing w:before="120" w:beforeAutospacing="0" w:after="120" w:afterAutospacing="0"/>
        <w:ind w:left="360"/>
        <w:jc w:val="both"/>
        <w:rPr>
          <w:rFonts w:asciiTheme="minorHAnsi" w:eastAsia="Times New Roman" w:hAnsiTheme="minorHAnsi" w:cstheme="minorHAnsi"/>
          <w:color w:val="000000"/>
          <w:sz w:val="22"/>
          <w:szCs w:val="22"/>
        </w:rPr>
      </w:pPr>
    </w:p>
    <w:p w14:paraId="10246466" w14:textId="77777777" w:rsidR="00100419" w:rsidRDefault="00D94FF7" w:rsidP="00100419">
      <w:pPr>
        <w:pStyle w:val="x210615018xxmsonormal"/>
        <w:numPr>
          <w:ilvl w:val="0"/>
          <w:numId w:val="5"/>
        </w:numPr>
        <w:spacing w:before="120" w:beforeAutospacing="0" w:after="120" w:afterAutospacing="0"/>
        <w:jc w:val="both"/>
        <w:rPr>
          <w:rStyle w:val="size"/>
          <w:rFonts w:asciiTheme="minorHAnsi" w:eastAsia="Times New Roman" w:hAnsiTheme="minorHAnsi" w:cstheme="minorHAnsi"/>
          <w:color w:val="0070C0"/>
          <w:sz w:val="22"/>
          <w:szCs w:val="22"/>
        </w:rPr>
      </w:pPr>
      <w:r w:rsidRPr="00100419">
        <w:rPr>
          <w:rStyle w:val="size"/>
          <w:rFonts w:asciiTheme="minorHAnsi" w:eastAsia="Times New Roman" w:hAnsiTheme="minorHAnsi" w:cstheme="minorHAnsi"/>
          <w:color w:val="0070C0"/>
          <w:sz w:val="22"/>
          <w:szCs w:val="22"/>
        </w:rPr>
        <w:t>Conformity assessment is an important component of “Chain of Trust” for AI. Can you highlight the role and applications of different conformity assessment standards in “Chain of Trust” and how AI can support decision making.</w:t>
      </w:r>
    </w:p>
    <w:p w14:paraId="635D71A6" w14:textId="4DC1E6C2" w:rsidR="00D94FF7" w:rsidRPr="00100419" w:rsidRDefault="00D94FF7" w:rsidP="00100419">
      <w:pPr>
        <w:pStyle w:val="x210615018xxmsonormal"/>
        <w:shd w:val="clear" w:color="auto" w:fill="FFFFFF"/>
        <w:spacing w:before="120" w:beforeAutospacing="0" w:after="120" w:afterAutospacing="0"/>
        <w:ind w:left="360"/>
        <w:jc w:val="both"/>
        <w:rPr>
          <w:rFonts w:asciiTheme="minorHAnsi" w:eastAsia="Times New Roman" w:hAnsiTheme="minorHAnsi" w:cstheme="minorHAnsi"/>
          <w:color w:val="000000"/>
          <w:sz w:val="22"/>
          <w:szCs w:val="22"/>
        </w:rPr>
      </w:pPr>
      <w:r w:rsidRPr="00100419">
        <w:rPr>
          <w:rFonts w:asciiTheme="minorHAnsi" w:eastAsia="Times New Roman" w:hAnsiTheme="minorHAnsi" w:cstheme="minorHAnsi"/>
          <w:color w:val="000000"/>
          <w:sz w:val="22"/>
          <w:szCs w:val="22"/>
        </w:rPr>
        <w:t xml:space="preserve">Chain of trust is built around the whole ecosystem of conformity assessment which essentially include accreditation bodies (ABs), conformity assessment bodies (CABs), and users of conformity assessment activities. 'Chain of Trust' can continue only when the entire ecosystem is based on sound principles of trust, and in this case technical validity of conformity assessment results. Therefore, AI should be able to support this ecosystem to make it more efficient and effective, without compromising of its intent with proper checks and balances. AI can certainly be utilised in different level of decision making in conformity assessment by both CABs’ and ABs’ processes, starting from screening of application to assign assessment team members to verify assessment findings and their links with appropriate clauses of the conformity assessment standards to decision for accreditation award.  </w:t>
      </w:r>
    </w:p>
    <w:p w14:paraId="12DDC7F9" w14:textId="77777777" w:rsidR="00D94FF7" w:rsidRPr="00100419" w:rsidRDefault="00D94FF7" w:rsidP="00100419">
      <w:pPr>
        <w:pStyle w:val="xxmsonormal"/>
        <w:spacing w:before="120" w:after="120"/>
        <w:ind w:left="360"/>
        <w:jc w:val="both"/>
        <w:rPr>
          <w:rFonts w:asciiTheme="minorHAnsi" w:eastAsia="Times New Roman" w:hAnsiTheme="minorHAnsi" w:cstheme="minorHAnsi"/>
          <w:sz w:val="22"/>
          <w:szCs w:val="22"/>
        </w:rPr>
      </w:pPr>
      <w:r w:rsidRPr="00100419">
        <w:rPr>
          <w:rFonts w:asciiTheme="minorHAnsi" w:eastAsia="Times New Roman" w:hAnsiTheme="minorHAnsi" w:cstheme="minorHAnsi"/>
          <w:sz w:val="22"/>
          <w:szCs w:val="22"/>
        </w:rPr>
        <w:t xml:space="preserve">Currently, some ABs provide programs to support the qualification of assessment organizations to conduct cloud security assessments that are hosting sensitive government data. The conformity to their defined processes is of great importance here given the impact a breach may have. In general, many industries rely on conformity assessment to set a baseline level of competency, but also the process itself provides trust and reliability of the results produced by that organization. </w:t>
      </w:r>
    </w:p>
    <w:p w14:paraId="614D46B0" w14:textId="77777777" w:rsidR="00D94FF7" w:rsidRPr="00100419" w:rsidRDefault="00D94FF7" w:rsidP="00100419">
      <w:pPr>
        <w:pStyle w:val="xxmsonormal"/>
        <w:spacing w:before="120" w:after="120"/>
        <w:ind w:left="360"/>
        <w:jc w:val="both"/>
        <w:rPr>
          <w:rFonts w:asciiTheme="minorHAnsi" w:eastAsia="Times New Roman" w:hAnsiTheme="minorHAnsi" w:cstheme="minorHAnsi"/>
          <w:sz w:val="22"/>
          <w:szCs w:val="22"/>
        </w:rPr>
      </w:pPr>
      <w:r w:rsidRPr="00100419">
        <w:rPr>
          <w:rFonts w:asciiTheme="minorHAnsi" w:eastAsia="Times New Roman" w:hAnsiTheme="minorHAnsi" w:cstheme="minorHAnsi"/>
          <w:sz w:val="22"/>
          <w:szCs w:val="22"/>
        </w:rPr>
        <w:t xml:space="preserve">Further, the list below outlines </w:t>
      </w:r>
      <w:r w:rsidRPr="00100419">
        <w:rPr>
          <w:rFonts w:asciiTheme="minorHAnsi" w:hAnsiTheme="minorHAnsi" w:cstheme="minorHAnsi"/>
          <w:sz w:val="22"/>
          <w:szCs w:val="22"/>
          <w:lang w:val="en-US"/>
        </w:rPr>
        <w:t>how different conformity assessment standards are applied in the realm of AI:</w:t>
      </w:r>
    </w:p>
    <w:p w14:paraId="6C9DC6B8" w14:textId="77777777" w:rsidR="00D94FF7" w:rsidRPr="00100419" w:rsidRDefault="00D94FF7" w:rsidP="00100419">
      <w:pPr>
        <w:pStyle w:val="ListParagraph"/>
        <w:numPr>
          <w:ilvl w:val="0"/>
          <w:numId w:val="7"/>
        </w:numPr>
        <w:spacing w:before="120" w:after="120" w:line="240" w:lineRule="auto"/>
        <w:jc w:val="both"/>
        <w:rPr>
          <w:rFonts w:cstheme="minorHAnsi"/>
          <w:szCs w:val="22"/>
          <w:lang w:val="en-US"/>
        </w:rPr>
      </w:pPr>
      <w:r w:rsidRPr="00100419">
        <w:rPr>
          <w:rFonts w:cstheme="minorHAnsi"/>
          <w:b/>
          <w:bCs/>
          <w:szCs w:val="22"/>
          <w:lang w:val="en-US"/>
        </w:rPr>
        <w:t>Data Quality Standards:</w:t>
      </w:r>
      <w:r w:rsidRPr="00100419">
        <w:rPr>
          <w:rFonts w:cstheme="minorHAnsi"/>
          <w:szCs w:val="22"/>
          <w:lang w:val="en-US"/>
        </w:rPr>
        <w:t xml:space="preserve"> Data quality standards ensure that AI systems are built upon high-quality, accurate, and reliable data. Standards such as ISO/IEC 25012 for data quality and ISO/IEC 20546 for big data quality provide guidelines for assessing and improving the quality of data used in AI applications, covering aspects such as completeness, accuracy, consistency, and timeliness.</w:t>
      </w:r>
    </w:p>
    <w:p w14:paraId="7BDD798D" w14:textId="77777777" w:rsidR="00D94FF7" w:rsidRPr="00100419" w:rsidRDefault="00D94FF7" w:rsidP="00100419">
      <w:pPr>
        <w:pStyle w:val="ListParagraph"/>
        <w:numPr>
          <w:ilvl w:val="0"/>
          <w:numId w:val="7"/>
        </w:numPr>
        <w:spacing w:before="120" w:after="120" w:line="240" w:lineRule="auto"/>
        <w:jc w:val="both"/>
        <w:rPr>
          <w:rFonts w:cstheme="minorHAnsi"/>
          <w:szCs w:val="22"/>
          <w:lang w:val="en-US"/>
        </w:rPr>
      </w:pPr>
      <w:r w:rsidRPr="00100419">
        <w:rPr>
          <w:rFonts w:cstheme="minorHAnsi"/>
          <w:b/>
          <w:bCs/>
          <w:szCs w:val="22"/>
          <w:lang w:val="en-US"/>
        </w:rPr>
        <w:t>Algorithmic Transparency Standards:</w:t>
      </w:r>
      <w:r w:rsidRPr="00100419">
        <w:rPr>
          <w:rFonts w:cstheme="minorHAnsi"/>
          <w:szCs w:val="22"/>
          <w:lang w:val="en-US"/>
        </w:rPr>
        <w:t xml:space="preserve"> Algorithmic transparency standards promote openness, accountability, and fairness in AI systems by requiring transparency about the algorithms used and their decision-making processes. Standards such as IEEE P7003 and ISO/IEC 29002-10 provide guidelines for disclosing algorithmic transparency, explaining how AI systems work, and disclosing biases or limitations.</w:t>
      </w:r>
    </w:p>
    <w:p w14:paraId="7A8D0809" w14:textId="77777777" w:rsidR="00D94FF7" w:rsidRPr="00100419" w:rsidRDefault="00D94FF7" w:rsidP="00100419">
      <w:pPr>
        <w:pStyle w:val="ListParagraph"/>
        <w:numPr>
          <w:ilvl w:val="0"/>
          <w:numId w:val="7"/>
        </w:numPr>
        <w:spacing w:before="120" w:after="120" w:line="240" w:lineRule="auto"/>
        <w:jc w:val="both"/>
        <w:rPr>
          <w:rFonts w:cstheme="minorHAnsi"/>
          <w:szCs w:val="22"/>
          <w:lang w:val="en-US"/>
        </w:rPr>
      </w:pPr>
      <w:r w:rsidRPr="00100419">
        <w:rPr>
          <w:rFonts w:cstheme="minorHAnsi"/>
          <w:b/>
          <w:bCs/>
          <w:szCs w:val="22"/>
          <w:lang w:val="en-US"/>
        </w:rPr>
        <w:t>Model Evaluation Standards:</w:t>
      </w:r>
      <w:r w:rsidRPr="00100419">
        <w:rPr>
          <w:rFonts w:cstheme="minorHAnsi"/>
          <w:szCs w:val="22"/>
          <w:lang w:val="en-US"/>
        </w:rPr>
        <w:t xml:space="preserve"> Model evaluation standards ensure that AI models are rigorously </w:t>
      </w:r>
      <w:proofErr w:type="gramStart"/>
      <w:r w:rsidRPr="00100419">
        <w:rPr>
          <w:rFonts w:cstheme="minorHAnsi"/>
          <w:szCs w:val="22"/>
          <w:lang w:val="en-US"/>
        </w:rPr>
        <w:t>tested</w:t>
      </w:r>
      <w:proofErr w:type="gramEnd"/>
      <w:r w:rsidRPr="00100419">
        <w:rPr>
          <w:rFonts w:cstheme="minorHAnsi"/>
          <w:szCs w:val="22"/>
          <w:lang w:val="en-US"/>
        </w:rPr>
        <w:t>, evaluated, and validated to ensure their effectiveness, performance, and reliability. Standards such as NIST's AI Model Testing and Validation (AITMoV) framework and IEEE P2755 provide methodologies for evaluating AI models across various criteria, including accuracy, robustness, fairness, and interpretability.</w:t>
      </w:r>
    </w:p>
    <w:p w14:paraId="0F7A3E2E" w14:textId="77777777" w:rsidR="00D94FF7" w:rsidRPr="00100419" w:rsidRDefault="00D94FF7" w:rsidP="00100419">
      <w:pPr>
        <w:pStyle w:val="ListParagraph"/>
        <w:numPr>
          <w:ilvl w:val="0"/>
          <w:numId w:val="7"/>
        </w:numPr>
        <w:spacing w:before="120" w:after="120" w:line="240" w:lineRule="auto"/>
        <w:jc w:val="both"/>
        <w:rPr>
          <w:rFonts w:cstheme="minorHAnsi"/>
          <w:szCs w:val="22"/>
          <w:lang w:val="en-US"/>
        </w:rPr>
      </w:pPr>
      <w:r w:rsidRPr="00100419">
        <w:rPr>
          <w:rFonts w:cstheme="minorHAnsi"/>
          <w:b/>
          <w:bCs/>
          <w:szCs w:val="22"/>
          <w:lang w:val="en-US"/>
        </w:rPr>
        <w:t xml:space="preserve">Ethical AI Standards: </w:t>
      </w:r>
      <w:r w:rsidRPr="00100419">
        <w:rPr>
          <w:rFonts w:cstheme="minorHAnsi"/>
          <w:szCs w:val="22"/>
          <w:lang w:val="en-US"/>
        </w:rPr>
        <w:t>Ethical AI standards address ethical considerations, human rights, and societal impacts associated with AI technologies. Standards such as ISO/IEC 23894 for AI ethics and IEEE P7000 series for ethical considerations in AI systems provide guidelines for ethical design, development, deployment, and use of AI technologies, covering areas such as privacy, fairness, accountability, transparency, and bias mitigation.</w:t>
      </w:r>
    </w:p>
    <w:p w14:paraId="5FB01664" w14:textId="77777777" w:rsidR="00D94FF7" w:rsidRPr="00100419" w:rsidRDefault="00D94FF7" w:rsidP="00100419">
      <w:pPr>
        <w:pStyle w:val="ListParagraph"/>
        <w:numPr>
          <w:ilvl w:val="0"/>
          <w:numId w:val="7"/>
        </w:numPr>
        <w:spacing w:before="120" w:after="120" w:line="240" w:lineRule="auto"/>
        <w:jc w:val="both"/>
        <w:rPr>
          <w:rFonts w:cstheme="minorHAnsi"/>
          <w:szCs w:val="22"/>
          <w:lang w:val="en-US"/>
        </w:rPr>
      </w:pPr>
      <w:r w:rsidRPr="00100419">
        <w:rPr>
          <w:rFonts w:cstheme="minorHAnsi"/>
          <w:b/>
          <w:bCs/>
          <w:szCs w:val="22"/>
          <w:lang w:val="en-US"/>
        </w:rPr>
        <w:t>Security and Privacy Standards:</w:t>
      </w:r>
      <w:r w:rsidRPr="00100419">
        <w:rPr>
          <w:rFonts w:cstheme="minorHAnsi"/>
          <w:szCs w:val="22"/>
          <w:lang w:val="en-US"/>
        </w:rPr>
        <w:t xml:space="preserve"> Security and privacy standards ensure that AI systems are secure, resilient, and compliant with data protection regulations. Standards such as ISO/IEC 27001 for information security management and GDPR for data protection provide guidelines for implementing security controls, managing risks, and protecting personal data in AI systems.</w:t>
      </w:r>
    </w:p>
    <w:p w14:paraId="0157F690" w14:textId="77777777" w:rsidR="00D94FF7" w:rsidRPr="00100419" w:rsidRDefault="00D94FF7" w:rsidP="00100419">
      <w:pPr>
        <w:pStyle w:val="ListParagraph"/>
        <w:numPr>
          <w:ilvl w:val="0"/>
          <w:numId w:val="7"/>
        </w:numPr>
        <w:spacing w:before="120" w:after="120" w:line="240" w:lineRule="auto"/>
        <w:jc w:val="both"/>
        <w:rPr>
          <w:rFonts w:cstheme="minorHAnsi"/>
          <w:szCs w:val="22"/>
          <w:lang w:val="en-US"/>
        </w:rPr>
      </w:pPr>
      <w:r w:rsidRPr="00100419">
        <w:rPr>
          <w:rFonts w:cstheme="minorHAnsi"/>
          <w:b/>
          <w:bCs/>
          <w:szCs w:val="22"/>
          <w:lang w:val="en-US"/>
        </w:rPr>
        <w:lastRenderedPageBreak/>
        <w:t>Interoperability Standards:</w:t>
      </w:r>
      <w:r w:rsidRPr="00100419">
        <w:rPr>
          <w:rFonts w:cstheme="minorHAnsi"/>
          <w:szCs w:val="22"/>
          <w:lang w:val="en-US"/>
        </w:rPr>
        <w:t xml:space="preserve"> Interoperability standards enable seamless integration and interoperability between AI systems, platforms, and devices from different vendors. Standards such as ISO/IEC 20589 for interoperability of AI systems and IEEE P2302 for interoperability frameworks provide guidelines for standardizing data formats, communication protocols, and interfaces to facilitate interoperability and data exchange.</w:t>
      </w:r>
    </w:p>
    <w:p w14:paraId="269AABEF" w14:textId="77777777" w:rsidR="00D94FF7" w:rsidRPr="00100419" w:rsidRDefault="00D94FF7" w:rsidP="00100419">
      <w:pPr>
        <w:pStyle w:val="ListParagraph"/>
        <w:numPr>
          <w:ilvl w:val="0"/>
          <w:numId w:val="7"/>
        </w:numPr>
        <w:spacing w:before="120" w:after="120" w:line="240" w:lineRule="auto"/>
        <w:jc w:val="both"/>
        <w:rPr>
          <w:rFonts w:cstheme="minorHAnsi"/>
          <w:szCs w:val="22"/>
          <w:lang w:val="en-US"/>
        </w:rPr>
      </w:pPr>
      <w:r w:rsidRPr="00100419">
        <w:rPr>
          <w:rFonts w:cstheme="minorHAnsi"/>
          <w:b/>
          <w:bCs/>
          <w:szCs w:val="22"/>
          <w:lang w:val="en-US"/>
        </w:rPr>
        <w:t>Certification and Accreditation Standards:</w:t>
      </w:r>
      <w:r w:rsidRPr="00100419">
        <w:rPr>
          <w:rFonts w:cstheme="minorHAnsi"/>
          <w:szCs w:val="22"/>
          <w:lang w:val="en-US"/>
        </w:rPr>
        <w:t xml:space="preserve"> Certification and accreditation standards provide frameworks for certifying and accrediting AI systems, products, and services to demonstrate compliance with relevant standards, regulations, and best practices. Standards such as ISO/IEC 17065 for product certification and ISO/IEC 17020 for inspection bodies provide guidelines for assessing conformity and ensuring confidence in AI systems' quality, safety, and reliability.</w:t>
      </w:r>
    </w:p>
    <w:p w14:paraId="16C2BD74" w14:textId="77777777" w:rsidR="00D94FF7" w:rsidRPr="00100419" w:rsidRDefault="00D94FF7" w:rsidP="00100419">
      <w:pPr>
        <w:pStyle w:val="x210615018xxmsonormal"/>
        <w:shd w:val="clear" w:color="auto" w:fill="FFFFFF"/>
        <w:spacing w:before="120" w:beforeAutospacing="0" w:after="120" w:afterAutospacing="0"/>
        <w:jc w:val="both"/>
        <w:rPr>
          <w:rFonts w:asciiTheme="minorHAnsi" w:hAnsiTheme="minorHAnsi" w:cstheme="minorHAnsi"/>
          <w:color w:val="000000"/>
          <w:sz w:val="22"/>
          <w:szCs w:val="22"/>
        </w:rPr>
      </w:pPr>
    </w:p>
    <w:p w14:paraId="47EAD103" w14:textId="77777777" w:rsidR="00D94FF7" w:rsidRPr="00100419" w:rsidRDefault="00D94FF7" w:rsidP="00100419">
      <w:pPr>
        <w:pStyle w:val="x210615018xxmsonormal"/>
        <w:numPr>
          <w:ilvl w:val="0"/>
          <w:numId w:val="5"/>
        </w:numPr>
        <w:spacing w:before="120" w:beforeAutospacing="0" w:after="120" w:afterAutospacing="0"/>
        <w:jc w:val="both"/>
        <w:rPr>
          <w:rStyle w:val="size"/>
          <w:rFonts w:asciiTheme="minorHAnsi" w:eastAsia="Times New Roman" w:hAnsiTheme="minorHAnsi" w:cstheme="minorHAnsi"/>
          <w:color w:val="0070C0"/>
          <w:sz w:val="22"/>
          <w:szCs w:val="22"/>
        </w:rPr>
      </w:pPr>
      <w:r w:rsidRPr="00100419">
        <w:rPr>
          <w:rStyle w:val="size"/>
          <w:rFonts w:asciiTheme="minorHAnsi" w:eastAsia="Times New Roman" w:hAnsiTheme="minorHAnsi" w:cstheme="minorHAnsi"/>
          <w:color w:val="0070C0"/>
          <w:sz w:val="22"/>
          <w:szCs w:val="22"/>
        </w:rPr>
        <w:t>Accreditation is a key enabler in building trust to conformity assessment processes. In this scenario can you highlight a few developments at APAC front wherein the need for harmonized practices is ensured. </w:t>
      </w:r>
    </w:p>
    <w:p w14:paraId="16613553" w14:textId="77777777" w:rsidR="00D94FF7" w:rsidRPr="00100419" w:rsidRDefault="00D94FF7" w:rsidP="00100419">
      <w:pPr>
        <w:pStyle w:val="xxmsonormal"/>
        <w:spacing w:before="120" w:after="120"/>
        <w:ind w:left="360"/>
        <w:jc w:val="both"/>
        <w:rPr>
          <w:rFonts w:asciiTheme="minorHAnsi" w:eastAsia="Times New Roman" w:hAnsiTheme="minorHAnsi" w:cstheme="minorHAnsi"/>
          <w:sz w:val="22"/>
          <w:szCs w:val="22"/>
        </w:rPr>
      </w:pPr>
      <w:r w:rsidRPr="00100419">
        <w:rPr>
          <w:rFonts w:asciiTheme="minorHAnsi" w:eastAsia="Times New Roman" w:hAnsiTheme="minorHAnsi" w:cstheme="minorHAnsi"/>
          <w:sz w:val="22"/>
          <w:szCs w:val="22"/>
        </w:rPr>
        <w:t xml:space="preserve">From the cybersecurity space, there are many standards that are emerging in different industries and without a specifier requirement, ABs are determining what they believe is the most applicable conformity assessment standard for these methods. It is important to encourage harmonization to avoid discrepancies between economies or organizations choosing one AB over another based on the decision they made about the relevant conformity assessment standard (i.e. one that aligns with their current processes vs a new standard). </w:t>
      </w:r>
    </w:p>
    <w:p w14:paraId="2A47690D" w14:textId="77777777" w:rsidR="00D94FF7" w:rsidRPr="00100419" w:rsidRDefault="00D94FF7" w:rsidP="00100419">
      <w:pPr>
        <w:pStyle w:val="x210615018xxmsonormal"/>
        <w:shd w:val="clear" w:color="auto" w:fill="FFFFFF"/>
        <w:spacing w:before="120" w:beforeAutospacing="0" w:after="120" w:afterAutospacing="0"/>
        <w:ind w:left="360"/>
        <w:jc w:val="both"/>
        <w:rPr>
          <w:rFonts w:asciiTheme="minorHAnsi" w:eastAsia="Times New Roman" w:hAnsiTheme="minorHAnsi" w:cstheme="minorHAnsi"/>
          <w:color w:val="000000"/>
          <w:sz w:val="22"/>
          <w:szCs w:val="22"/>
        </w:rPr>
      </w:pPr>
      <w:r w:rsidRPr="00100419">
        <w:rPr>
          <w:rFonts w:asciiTheme="minorHAnsi" w:eastAsia="Times New Roman" w:hAnsiTheme="minorHAnsi" w:cstheme="minorHAnsi"/>
          <w:color w:val="000000"/>
          <w:sz w:val="22"/>
          <w:szCs w:val="22"/>
        </w:rPr>
        <w:t xml:space="preserve">Establishing a harmonized approach at a global level is essential. APAC’s AI JWG group (which provided background material on this blog) is a first, essential element. The next steps should be carefully considered in coordination with IAF/ILAC. </w:t>
      </w:r>
    </w:p>
    <w:p w14:paraId="1095DE88" w14:textId="77777777" w:rsidR="00D94FF7" w:rsidRPr="00100419" w:rsidRDefault="00D94FF7" w:rsidP="00100419">
      <w:pPr>
        <w:pStyle w:val="x210615018xxmsonormal"/>
        <w:shd w:val="clear" w:color="auto" w:fill="FFFFFF"/>
        <w:spacing w:before="120" w:beforeAutospacing="0" w:after="120" w:afterAutospacing="0"/>
        <w:jc w:val="both"/>
        <w:rPr>
          <w:rFonts w:asciiTheme="minorHAnsi" w:eastAsia="Times New Roman" w:hAnsiTheme="minorHAnsi" w:cstheme="minorHAnsi"/>
          <w:color w:val="000000"/>
          <w:sz w:val="22"/>
          <w:szCs w:val="22"/>
        </w:rPr>
      </w:pPr>
    </w:p>
    <w:p w14:paraId="6086D3D5" w14:textId="77777777" w:rsidR="00D94FF7" w:rsidRPr="00100419" w:rsidRDefault="00D94FF7" w:rsidP="00100419">
      <w:pPr>
        <w:pStyle w:val="x210615018xxmsonormal"/>
        <w:numPr>
          <w:ilvl w:val="0"/>
          <w:numId w:val="5"/>
        </w:numPr>
        <w:spacing w:before="120" w:beforeAutospacing="0" w:after="120" w:afterAutospacing="0"/>
        <w:jc w:val="both"/>
        <w:rPr>
          <w:rStyle w:val="size"/>
          <w:rFonts w:asciiTheme="minorHAnsi" w:eastAsia="Times New Roman" w:hAnsiTheme="minorHAnsi" w:cstheme="minorHAnsi"/>
          <w:color w:val="0070C0"/>
          <w:sz w:val="22"/>
          <w:szCs w:val="22"/>
        </w:rPr>
      </w:pPr>
      <w:r w:rsidRPr="00100419">
        <w:rPr>
          <w:rStyle w:val="size"/>
          <w:rFonts w:asciiTheme="minorHAnsi" w:eastAsia="Times New Roman" w:hAnsiTheme="minorHAnsi" w:cstheme="minorHAnsi"/>
          <w:color w:val="0070C0"/>
          <w:sz w:val="22"/>
          <w:szCs w:val="22"/>
        </w:rPr>
        <w:t>APAC provides assurance to users of conformity assessment services through its MRA process. What is your take on using AI by APAC in its MRA evaluation process of ABs.</w:t>
      </w:r>
    </w:p>
    <w:p w14:paraId="2F7976B6" w14:textId="77777777" w:rsidR="00D94FF7" w:rsidRPr="00100419" w:rsidRDefault="00D94FF7" w:rsidP="00100419">
      <w:pPr>
        <w:pStyle w:val="ListParagraph"/>
        <w:spacing w:before="120" w:after="120" w:line="240" w:lineRule="auto"/>
        <w:ind w:left="360"/>
        <w:jc w:val="both"/>
        <w:rPr>
          <w:rFonts w:eastAsia="Times New Roman" w:cstheme="minorHAnsi"/>
          <w:color w:val="000000"/>
          <w:szCs w:val="22"/>
          <w:lang w:eastAsia="en-CA"/>
        </w:rPr>
      </w:pPr>
      <w:r w:rsidRPr="00100419">
        <w:rPr>
          <w:rFonts w:eastAsia="Times New Roman" w:cstheme="minorHAnsi"/>
          <w:color w:val="000000"/>
          <w:szCs w:val="22"/>
          <w:lang w:eastAsia="en-CA"/>
        </w:rPr>
        <w:t xml:space="preserve">As mentioned above for CAB and ABs, APAC can also utilise AI for different stages of the application process based on pre-defined parameters. AI can certainly be used for application review by the Secretariat and report preparation by evaluation team as they use a pre-defined template filled by the AB. Then MRAMC can use an AI tool for the evaluation report review to make recommendation to MRA council. </w:t>
      </w:r>
    </w:p>
    <w:p w14:paraId="61CBDFE9" w14:textId="77777777" w:rsidR="00D94FF7" w:rsidRPr="00100419" w:rsidRDefault="00D94FF7" w:rsidP="00100419">
      <w:pPr>
        <w:pStyle w:val="xxmsonormal"/>
        <w:spacing w:before="120" w:after="120"/>
        <w:ind w:left="360"/>
        <w:jc w:val="both"/>
        <w:rPr>
          <w:rFonts w:asciiTheme="minorHAnsi" w:eastAsia="Times New Roman" w:hAnsiTheme="minorHAnsi" w:cstheme="minorHAnsi"/>
          <w:sz w:val="22"/>
          <w:szCs w:val="22"/>
        </w:rPr>
      </w:pPr>
      <w:r w:rsidRPr="00100419">
        <w:rPr>
          <w:rFonts w:asciiTheme="minorHAnsi" w:eastAsia="Times New Roman" w:hAnsiTheme="minorHAnsi" w:cstheme="minorHAnsi"/>
          <w:sz w:val="22"/>
          <w:szCs w:val="22"/>
        </w:rPr>
        <w:t xml:space="preserve">The same expectation may be given to APAC that would be given for a conformity assessment body utilizing AI in their processes, e.g., validation that the AI driven process is equivalent to the process performed by personnel. Another consideration is the bias of the AI learning as more assessment packages are run through the system. It could be used efficiently for documentation reviews </w:t>
      </w:r>
      <w:proofErr w:type="gramStart"/>
      <w:r w:rsidRPr="00100419">
        <w:rPr>
          <w:rFonts w:asciiTheme="minorHAnsi" w:eastAsia="Times New Roman" w:hAnsiTheme="minorHAnsi" w:cstheme="minorHAnsi"/>
          <w:sz w:val="22"/>
          <w:szCs w:val="22"/>
        </w:rPr>
        <w:t>and also</w:t>
      </w:r>
      <w:proofErr w:type="gramEnd"/>
      <w:r w:rsidRPr="00100419">
        <w:rPr>
          <w:rFonts w:asciiTheme="minorHAnsi" w:eastAsia="Times New Roman" w:hAnsiTheme="minorHAnsi" w:cstheme="minorHAnsi"/>
          <w:sz w:val="22"/>
          <w:szCs w:val="22"/>
        </w:rPr>
        <w:t xml:space="preserve"> reporting and report review. There currently is hesitation on running a corrective action through AI but it would depend on the learning base the system has.</w:t>
      </w:r>
    </w:p>
    <w:p w14:paraId="4B1BA99E" w14:textId="77777777" w:rsidR="004A676A" w:rsidRPr="00100419" w:rsidRDefault="004A676A" w:rsidP="00100419">
      <w:pPr>
        <w:ind w:left="360"/>
        <w:jc w:val="both"/>
        <w:rPr>
          <w:rFonts w:cstheme="minorHAnsi"/>
          <w:b/>
          <w:bCs/>
          <w:color w:val="000000" w:themeColor="text1"/>
          <w:szCs w:val="22"/>
        </w:rPr>
      </w:pPr>
      <w:r w:rsidRPr="00100419">
        <w:rPr>
          <w:rFonts w:cstheme="minorHAnsi"/>
          <w:b/>
          <w:bCs/>
          <w:color w:val="000000" w:themeColor="text1"/>
          <w:szCs w:val="22"/>
        </w:rPr>
        <w:t>END</w:t>
      </w:r>
    </w:p>
    <w:p w14:paraId="0714FE10" w14:textId="795AB8C0" w:rsidR="00D94FF7" w:rsidRPr="00100419" w:rsidRDefault="00D94FF7" w:rsidP="00100419">
      <w:pPr>
        <w:jc w:val="both"/>
        <w:rPr>
          <w:rFonts w:eastAsiaTheme="minorEastAsia" w:cstheme="minorHAnsi"/>
          <w:noProof/>
          <w:szCs w:val="22"/>
          <w:lang w:val="en-AU" w:eastAsia="en-GB"/>
        </w:rPr>
      </w:pPr>
      <w:r w:rsidRPr="00100419">
        <w:rPr>
          <w:rFonts w:eastAsia="Calibri" w:cstheme="minorHAnsi"/>
          <w:noProof/>
          <w:color w:val="808080"/>
          <w:szCs w:val="22"/>
          <w:lang w:eastAsia="en-GB"/>
        </w:rPr>
        <w:t xml:space="preserve">Any views or opinions presented in this </w:t>
      </w:r>
      <w:r w:rsidR="00B54570">
        <w:rPr>
          <w:rFonts w:eastAsia="Calibri" w:cstheme="minorHAnsi"/>
          <w:noProof/>
          <w:color w:val="808080"/>
          <w:szCs w:val="22"/>
          <w:lang w:eastAsia="en-GB"/>
        </w:rPr>
        <w:t xml:space="preserve">blog </w:t>
      </w:r>
      <w:r w:rsidRPr="00100419">
        <w:rPr>
          <w:rFonts w:eastAsia="Calibri" w:cstheme="minorHAnsi"/>
          <w:noProof/>
          <w:color w:val="808080"/>
          <w:szCs w:val="22"/>
          <w:lang w:eastAsia="en-GB"/>
        </w:rPr>
        <w:t>are solely those of the author and do not necessarily represent those of APAC.</w:t>
      </w:r>
    </w:p>
    <w:p w14:paraId="4B635C5E" w14:textId="77777777" w:rsidR="00D94FF7" w:rsidRDefault="00D94FF7" w:rsidP="00D94FF7">
      <w:pPr>
        <w:rPr>
          <w:rFonts w:ascii="Calibri" w:hAnsi="Calibri"/>
          <w:kern w:val="2"/>
          <w:lang w:val="en-GB"/>
          <w14:ligatures w14:val="standardContextual"/>
        </w:rPr>
      </w:pPr>
    </w:p>
    <w:p w14:paraId="43D02551" w14:textId="77777777" w:rsidR="00D94FF7" w:rsidRDefault="00D94FF7">
      <w:pPr>
        <w:rPr>
          <w:rFonts w:cstheme="minorHAnsi"/>
          <w:b/>
          <w:bCs/>
          <w:color w:val="000000" w:themeColor="text1"/>
          <w:szCs w:val="22"/>
        </w:rPr>
      </w:pPr>
    </w:p>
    <w:sectPr w:rsidR="00D94FF7">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713756" w14:textId="77777777" w:rsidR="00F31F56" w:rsidRDefault="00F31F56" w:rsidP="00F25D21">
      <w:pPr>
        <w:spacing w:after="0" w:line="240" w:lineRule="auto"/>
      </w:pPr>
      <w:r>
        <w:separator/>
      </w:r>
    </w:p>
  </w:endnote>
  <w:endnote w:type="continuationSeparator" w:id="0">
    <w:p w14:paraId="58FAB43B" w14:textId="77777777" w:rsidR="00F31F56" w:rsidRDefault="00F31F56" w:rsidP="00F25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3"/>
      <w:gridCol w:w="2863"/>
      <w:gridCol w:w="1803"/>
      <w:gridCol w:w="1803"/>
      <w:gridCol w:w="1804"/>
    </w:tblGrid>
    <w:tr w:rsidR="00EA7FE3" w:rsidRPr="00EA7FE3" w14:paraId="5C9F3013" w14:textId="77777777" w:rsidTr="00EA7FE3">
      <w:tc>
        <w:tcPr>
          <w:tcW w:w="742" w:type="dxa"/>
          <w:tcBorders>
            <w:bottom w:val="single" w:sz="4" w:space="0" w:color="auto"/>
          </w:tcBorders>
        </w:tcPr>
        <w:p w14:paraId="11218A04" w14:textId="16EEC528" w:rsidR="00EA7FE3" w:rsidRPr="00EA7FE3" w:rsidRDefault="00EA7FE3">
          <w:pPr>
            <w:pStyle w:val="Footer"/>
            <w:rPr>
              <w:rFonts w:cstheme="minorHAnsi"/>
              <w:sz w:val="16"/>
              <w:szCs w:val="16"/>
            </w:rPr>
          </w:pPr>
        </w:p>
      </w:tc>
      <w:tc>
        <w:tcPr>
          <w:tcW w:w="2864" w:type="dxa"/>
          <w:tcBorders>
            <w:bottom w:val="single" w:sz="4" w:space="0" w:color="auto"/>
          </w:tcBorders>
        </w:tcPr>
        <w:p w14:paraId="4EB87F30" w14:textId="77777777" w:rsidR="00EA7FE3" w:rsidRPr="00EA7FE3" w:rsidRDefault="00EA7FE3">
          <w:pPr>
            <w:pStyle w:val="Footer"/>
            <w:rPr>
              <w:rFonts w:cstheme="minorHAnsi"/>
              <w:sz w:val="16"/>
              <w:szCs w:val="16"/>
            </w:rPr>
          </w:pPr>
        </w:p>
      </w:tc>
      <w:tc>
        <w:tcPr>
          <w:tcW w:w="1803" w:type="dxa"/>
          <w:tcBorders>
            <w:bottom w:val="single" w:sz="4" w:space="0" w:color="auto"/>
          </w:tcBorders>
        </w:tcPr>
        <w:p w14:paraId="16F43612" w14:textId="77777777" w:rsidR="00EA7FE3" w:rsidRPr="00EA7FE3" w:rsidRDefault="00EA7FE3">
          <w:pPr>
            <w:pStyle w:val="Footer"/>
            <w:rPr>
              <w:rFonts w:cstheme="minorHAnsi"/>
              <w:sz w:val="16"/>
              <w:szCs w:val="16"/>
            </w:rPr>
          </w:pPr>
        </w:p>
      </w:tc>
      <w:tc>
        <w:tcPr>
          <w:tcW w:w="1803" w:type="dxa"/>
          <w:tcBorders>
            <w:bottom w:val="single" w:sz="4" w:space="0" w:color="auto"/>
          </w:tcBorders>
        </w:tcPr>
        <w:p w14:paraId="31CB1E04" w14:textId="77777777" w:rsidR="00EA7FE3" w:rsidRPr="00EA7FE3" w:rsidRDefault="00EA7FE3">
          <w:pPr>
            <w:pStyle w:val="Footer"/>
            <w:rPr>
              <w:rFonts w:cstheme="minorHAnsi"/>
              <w:sz w:val="16"/>
              <w:szCs w:val="16"/>
            </w:rPr>
          </w:pPr>
        </w:p>
      </w:tc>
      <w:tc>
        <w:tcPr>
          <w:tcW w:w="1804" w:type="dxa"/>
          <w:tcBorders>
            <w:bottom w:val="single" w:sz="4" w:space="0" w:color="auto"/>
          </w:tcBorders>
        </w:tcPr>
        <w:p w14:paraId="584B523F" w14:textId="77777777" w:rsidR="00EA7FE3" w:rsidRPr="00EA7FE3" w:rsidRDefault="00EA7FE3">
          <w:pPr>
            <w:pStyle w:val="Footer"/>
            <w:rPr>
              <w:rFonts w:cstheme="minorHAnsi"/>
              <w:sz w:val="16"/>
              <w:szCs w:val="16"/>
            </w:rPr>
          </w:pPr>
        </w:p>
      </w:tc>
    </w:tr>
    <w:tr w:rsidR="00EA7FE3" w:rsidRPr="00EA7FE3" w14:paraId="716B26C9" w14:textId="77777777" w:rsidTr="00EA7FE3">
      <w:tc>
        <w:tcPr>
          <w:tcW w:w="742" w:type="dxa"/>
          <w:tcBorders>
            <w:top w:val="single" w:sz="4" w:space="0" w:color="auto"/>
          </w:tcBorders>
        </w:tcPr>
        <w:p w14:paraId="62042609" w14:textId="70D571CE" w:rsidR="00EA7FE3" w:rsidRPr="00EA7FE3" w:rsidRDefault="00EA7FE3">
          <w:pPr>
            <w:pStyle w:val="Footer"/>
            <w:rPr>
              <w:rFonts w:cstheme="minorHAnsi"/>
              <w:sz w:val="16"/>
              <w:szCs w:val="16"/>
            </w:rPr>
          </w:pPr>
          <w:r>
            <w:rPr>
              <w:rFonts w:cstheme="minorHAnsi"/>
              <w:sz w:val="16"/>
              <w:szCs w:val="16"/>
            </w:rPr>
            <w:t>Version:</w:t>
          </w:r>
        </w:p>
      </w:tc>
      <w:tc>
        <w:tcPr>
          <w:tcW w:w="2864" w:type="dxa"/>
          <w:tcBorders>
            <w:top w:val="single" w:sz="4" w:space="0" w:color="auto"/>
          </w:tcBorders>
        </w:tcPr>
        <w:p w14:paraId="54341F01" w14:textId="42C406A9" w:rsidR="00EA7FE3" w:rsidRPr="00EA7FE3" w:rsidRDefault="00EA7FE3">
          <w:pPr>
            <w:pStyle w:val="Footer"/>
            <w:rPr>
              <w:rFonts w:cstheme="minorHAnsi"/>
              <w:sz w:val="16"/>
              <w:szCs w:val="16"/>
            </w:rPr>
          </w:pPr>
          <w:r>
            <w:rPr>
              <w:rFonts w:cstheme="minorHAnsi"/>
              <w:sz w:val="16"/>
              <w:szCs w:val="16"/>
            </w:rPr>
            <w:t>1.0</w:t>
          </w:r>
        </w:p>
      </w:tc>
      <w:tc>
        <w:tcPr>
          <w:tcW w:w="1803" w:type="dxa"/>
          <w:tcBorders>
            <w:top w:val="single" w:sz="4" w:space="0" w:color="auto"/>
          </w:tcBorders>
        </w:tcPr>
        <w:p w14:paraId="6E964D3D" w14:textId="77777777" w:rsidR="00EA7FE3" w:rsidRPr="00EA7FE3" w:rsidRDefault="00EA7FE3">
          <w:pPr>
            <w:pStyle w:val="Footer"/>
            <w:rPr>
              <w:rFonts w:cstheme="minorHAnsi"/>
              <w:sz w:val="16"/>
              <w:szCs w:val="16"/>
            </w:rPr>
          </w:pPr>
        </w:p>
      </w:tc>
      <w:tc>
        <w:tcPr>
          <w:tcW w:w="1803" w:type="dxa"/>
          <w:tcBorders>
            <w:top w:val="single" w:sz="4" w:space="0" w:color="auto"/>
          </w:tcBorders>
        </w:tcPr>
        <w:p w14:paraId="171E223C" w14:textId="77777777" w:rsidR="00EA7FE3" w:rsidRPr="00EA7FE3" w:rsidRDefault="00EA7FE3">
          <w:pPr>
            <w:pStyle w:val="Footer"/>
            <w:rPr>
              <w:rFonts w:cstheme="minorHAnsi"/>
              <w:sz w:val="16"/>
              <w:szCs w:val="16"/>
            </w:rPr>
          </w:pPr>
        </w:p>
      </w:tc>
      <w:tc>
        <w:tcPr>
          <w:tcW w:w="1804" w:type="dxa"/>
          <w:tcBorders>
            <w:top w:val="single" w:sz="4" w:space="0" w:color="auto"/>
          </w:tcBorders>
        </w:tcPr>
        <w:p w14:paraId="7A14220C" w14:textId="0507460E" w:rsidR="00EA7FE3" w:rsidRPr="00EA7FE3" w:rsidRDefault="00EA7FE3" w:rsidP="00EA7FE3">
          <w:pPr>
            <w:pStyle w:val="Footer"/>
            <w:jc w:val="right"/>
            <w:rPr>
              <w:rFonts w:cstheme="minorHAnsi"/>
              <w:sz w:val="16"/>
              <w:szCs w:val="16"/>
            </w:rPr>
          </w:pPr>
          <w:r w:rsidRPr="00EA7FE3">
            <w:rPr>
              <w:rFonts w:cstheme="minorHAnsi"/>
              <w:sz w:val="16"/>
              <w:szCs w:val="16"/>
            </w:rPr>
            <w:t xml:space="preserve">Page </w:t>
          </w:r>
          <w:r w:rsidRPr="00EA7FE3">
            <w:rPr>
              <w:rFonts w:cstheme="minorHAnsi"/>
              <w:b/>
              <w:bCs/>
              <w:sz w:val="16"/>
              <w:szCs w:val="16"/>
            </w:rPr>
            <w:fldChar w:fldCharType="begin"/>
          </w:r>
          <w:r w:rsidRPr="00EA7FE3">
            <w:rPr>
              <w:rFonts w:cstheme="minorHAnsi"/>
              <w:b/>
              <w:bCs/>
              <w:sz w:val="16"/>
              <w:szCs w:val="16"/>
            </w:rPr>
            <w:instrText xml:space="preserve"> PAGE  \* Arabic  \* MERGEFORMAT </w:instrText>
          </w:r>
          <w:r w:rsidRPr="00EA7FE3">
            <w:rPr>
              <w:rFonts w:cstheme="minorHAnsi"/>
              <w:b/>
              <w:bCs/>
              <w:sz w:val="16"/>
              <w:szCs w:val="16"/>
            </w:rPr>
            <w:fldChar w:fldCharType="separate"/>
          </w:r>
          <w:r w:rsidRPr="00EA7FE3">
            <w:rPr>
              <w:rFonts w:cstheme="minorHAnsi"/>
              <w:b/>
              <w:bCs/>
              <w:noProof/>
              <w:sz w:val="16"/>
              <w:szCs w:val="16"/>
            </w:rPr>
            <w:t>1</w:t>
          </w:r>
          <w:r w:rsidRPr="00EA7FE3">
            <w:rPr>
              <w:rFonts w:cstheme="minorHAnsi"/>
              <w:b/>
              <w:bCs/>
              <w:sz w:val="16"/>
              <w:szCs w:val="16"/>
            </w:rPr>
            <w:fldChar w:fldCharType="end"/>
          </w:r>
          <w:r w:rsidRPr="00EA7FE3">
            <w:rPr>
              <w:rFonts w:cstheme="minorHAnsi"/>
              <w:sz w:val="16"/>
              <w:szCs w:val="16"/>
            </w:rPr>
            <w:t xml:space="preserve"> of </w:t>
          </w:r>
          <w:r w:rsidRPr="00EA7FE3">
            <w:rPr>
              <w:rFonts w:cstheme="minorHAnsi"/>
              <w:b/>
              <w:bCs/>
              <w:sz w:val="16"/>
              <w:szCs w:val="16"/>
            </w:rPr>
            <w:fldChar w:fldCharType="begin"/>
          </w:r>
          <w:r w:rsidRPr="00EA7FE3">
            <w:rPr>
              <w:rFonts w:cstheme="minorHAnsi"/>
              <w:b/>
              <w:bCs/>
              <w:sz w:val="16"/>
              <w:szCs w:val="16"/>
            </w:rPr>
            <w:instrText xml:space="preserve"> NUMPAGES  \* Arabic  \* MERGEFORMAT </w:instrText>
          </w:r>
          <w:r w:rsidRPr="00EA7FE3">
            <w:rPr>
              <w:rFonts w:cstheme="minorHAnsi"/>
              <w:b/>
              <w:bCs/>
              <w:sz w:val="16"/>
              <w:szCs w:val="16"/>
            </w:rPr>
            <w:fldChar w:fldCharType="separate"/>
          </w:r>
          <w:r w:rsidRPr="00EA7FE3">
            <w:rPr>
              <w:rFonts w:cstheme="minorHAnsi"/>
              <w:b/>
              <w:bCs/>
              <w:noProof/>
              <w:sz w:val="16"/>
              <w:szCs w:val="16"/>
            </w:rPr>
            <w:t>2</w:t>
          </w:r>
          <w:r w:rsidRPr="00EA7FE3">
            <w:rPr>
              <w:rFonts w:cstheme="minorHAnsi"/>
              <w:b/>
              <w:bCs/>
              <w:sz w:val="16"/>
              <w:szCs w:val="16"/>
            </w:rPr>
            <w:fldChar w:fldCharType="end"/>
          </w:r>
        </w:p>
      </w:tc>
    </w:tr>
    <w:tr w:rsidR="00EA7FE3" w:rsidRPr="00EA7FE3" w14:paraId="201A69F5" w14:textId="77777777" w:rsidTr="00EA7FE3">
      <w:tc>
        <w:tcPr>
          <w:tcW w:w="742" w:type="dxa"/>
        </w:tcPr>
        <w:p w14:paraId="36BBD3BF" w14:textId="0721CA95" w:rsidR="00EA7FE3" w:rsidRPr="00EA7FE3" w:rsidRDefault="00EA7FE3">
          <w:pPr>
            <w:pStyle w:val="Footer"/>
            <w:rPr>
              <w:rFonts w:cstheme="minorHAnsi"/>
              <w:sz w:val="16"/>
              <w:szCs w:val="16"/>
            </w:rPr>
          </w:pPr>
          <w:r>
            <w:rPr>
              <w:rFonts w:cstheme="minorHAnsi"/>
              <w:sz w:val="16"/>
              <w:szCs w:val="16"/>
            </w:rPr>
            <w:t xml:space="preserve">Date: </w:t>
          </w:r>
        </w:p>
      </w:tc>
      <w:tc>
        <w:tcPr>
          <w:tcW w:w="2864" w:type="dxa"/>
        </w:tcPr>
        <w:p w14:paraId="5EB7216C" w14:textId="31CD6C6D" w:rsidR="00EA7FE3" w:rsidRPr="00EA7FE3" w:rsidRDefault="00D94FF7">
          <w:pPr>
            <w:pStyle w:val="Footer"/>
            <w:rPr>
              <w:rFonts w:cstheme="minorHAnsi"/>
              <w:sz w:val="16"/>
              <w:szCs w:val="16"/>
            </w:rPr>
          </w:pPr>
          <w:r>
            <w:rPr>
              <w:rFonts w:cstheme="minorHAnsi"/>
              <w:sz w:val="16"/>
              <w:szCs w:val="16"/>
            </w:rPr>
            <w:t>2024-06-28</w:t>
          </w:r>
        </w:p>
      </w:tc>
      <w:tc>
        <w:tcPr>
          <w:tcW w:w="1803" w:type="dxa"/>
        </w:tcPr>
        <w:p w14:paraId="328A20AD" w14:textId="77777777" w:rsidR="00EA7FE3" w:rsidRPr="00EA7FE3" w:rsidRDefault="00EA7FE3">
          <w:pPr>
            <w:pStyle w:val="Footer"/>
            <w:rPr>
              <w:rFonts w:cstheme="minorHAnsi"/>
              <w:sz w:val="16"/>
              <w:szCs w:val="16"/>
            </w:rPr>
          </w:pPr>
        </w:p>
      </w:tc>
      <w:tc>
        <w:tcPr>
          <w:tcW w:w="1803" w:type="dxa"/>
        </w:tcPr>
        <w:p w14:paraId="78144AA9" w14:textId="77777777" w:rsidR="00EA7FE3" w:rsidRPr="00EA7FE3" w:rsidRDefault="00EA7FE3">
          <w:pPr>
            <w:pStyle w:val="Footer"/>
            <w:rPr>
              <w:rFonts w:cstheme="minorHAnsi"/>
              <w:sz w:val="16"/>
              <w:szCs w:val="16"/>
            </w:rPr>
          </w:pPr>
        </w:p>
      </w:tc>
      <w:tc>
        <w:tcPr>
          <w:tcW w:w="1804" w:type="dxa"/>
        </w:tcPr>
        <w:p w14:paraId="3D812FFA" w14:textId="77777777" w:rsidR="00EA7FE3" w:rsidRPr="00EA7FE3" w:rsidRDefault="00EA7FE3">
          <w:pPr>
            <w:pStyle w:val="Footer"/>
            <w:rPr>
              <w:rFonts w:cstheme="minorHAnsi"/>
              <w:sz w:val="16"/>
              <w:szCs w:val="16"/>
            </w:rPr>
          </w:pPr>
        </w:p>
      </w:tc>
    </w:tr>
  </w:tbl>
  <w:p w14:paraId="4A31B8D7" w14:textId="77777777" w:rsidR="00EA7FE3" w:rsidRPr="00EA7FE3" w:rsidRDefault="00EA7FE3">
    <w:pPr>
      <w:pStyle w:val="Footer"/>
      <w:rPr>
        <w:rFonts w:cstheme="minorHAns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6EB821" w14:textId="77777777" w:rsidR="00F31F56" w:rsidRDefault="00F31F56" w:rsidP="00F25D21">
      <w:pPr>
        <w:spacing w:after="0" w:line="240" w:lineRule="auto"/>
      </w:pPr>
      <w:r>
        <w:separator/>
      </w:r>
    </w:p>
  </w:footnote>
  <w:footnote w:type="continuationSeparator" w:id="0">
    <w:p w14:paraId="77048841" w14:textId="77777777" w:rsidR="00F31F56" w:rsidRDefault="00F31F56" w:rsidP="00F25D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4217E" w14:textId="6FAF54E2" w:rsidR="00F25D21" w:rsidRPr="00F25D21" w:rsidRDefault="00F25D21" w:rsidP="00F25D21">
    <w:pPr>
      <w:pStyle w:val="CoverPartyNames"/>
      <w:spacing w:after="0" w:line="240" w:lineRule="auto"/>
      <w:jc w:val="center"/>
      <w:rPr>
        <w:rFonts w:asciiTheme="minorHAnsi" w:eastAsia="MS Mincho" w:hAnsiTheme="minorHAnsi" w:cstheme="minorHAnsi"/>
        <w:lang w:eastAsia="ja-JP"/>
      </w:rPr>
    </w:pPr>
    <w:r>
      <w:rPr>
        <w:rFonts w:asciiTheme="minorHAnsi" w:hAnsiTheme="minorHAnsi" w:cstheme="minorHAnsi"/>
        <w:i/>
        <w:color w:val="2F5496" w:themeColor="accent1" w:themeShade="BF"/>
        <w:sz w:val="24"/>
        <w:szCs w:val="24"/>
      </w:rPr>
      <w:t>APAC Blog 00</w:t>
    </w:r>
    <w:r w:rsidR="00D94FF7">
      <w:rPr>
        <w:rFonts w:asciiTheme="minorHAnsi" w:hAnsiTheme="minorHAnsi" w:cstheme="minorHAnsi"/>
        <w:i/>
        <w:color w:val="2F5496" w:themeColor="accent1" w:themeShade="BF"/>
        <w:sz w:val="24"/>
        <w:szCs w:val="24"/>
      </w:rPr>
      <w:t>3</w:t>
    </w:r>
    <w:r>
      <w:rPr>
        <w:rFonts w:asciiTheme="minorHAnsi" w:hAnsiTheme="minorHAnsi" w:cstheme="minorHAnsi"/>
        <w:i/>
        <w:color w:val="2F5496" w:themeColor="accent1" w:themeShade="BF"/>
        <w:sz w:val="24"/>
        <w:szCs w:val="24"/>
      </w:rPr>
      <w:t xml:space="preserve"> </w:t>
    </w:r>
    <w:r w:rsidR="00D94FF7" w:rsidRPr="00D94FF7">
      <w:rPr>
        <w:rFonts w:asciiTheme="minorHAnsi" w:hAnsiTheme="minorHAnsi" w:cstheme="minorHAnsi"/>
        <w:i/>
        <w:color w:val="2F5496" w:themeColor="accent1" w:themeShade="BF"/>
        <w:sz w:val="24"/>
        <w:szCs w:val="24"/>
      </w:rPr>
      <w:t>Mr. Trace McInturff, APAC MRA Council Chair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A14D28"/>
    <w:multiLevelType w:val="hybridMultilevel"/>
    <w:tmpl w:val="59DCBBE8"/>
    <w:lvl w:ilvl="0" w:tplc="DE0CFBA6">
      <w:numFmt w:val="bullet"/>
      <w:lvlText w:val="-"/>
      <w:lvlJc w:val="left"/>
      <w:pPr>
        <w:ind w:left="1080" w:hanging="360"/>
      </w:pPr>
      <w:rPr>
        <w:rFonts w:ascii="Aptos" w:eastAsia="Times New Roman" w:hAnsi="Aptos"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15:restartNumberingAfterBreak="0">
    <w:nsid w:val="3CC17722"/>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3F4E46F3"/>
    <w:multiLevelType w:val="hybridMultilevel"/>
    <w:tmpl w:val="85C07BBA"/>
    <w:lvl w:ilvl="0" w:tplc="0C090017">
      <w:start w:val="1"/>
      <w:numFmt w:val="lowerLetter"/>
      <w:lvlText w:val="%1)"/>
      <w:lvlJc w:val="left"/>
      <w:pPr>
        <w:ind w:left="72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3" w15:restartNumberingAfterBreak="0">
    <w:nsid w:val="54784F77"/>
    <w:multiLevelType w:val="hybridMultilevel"/>
    <w:tmpl w:val="8E083F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F1E1024"/>
    <w:multiLevelType w:val="hybridMultilevel"/>
    <w:tmpl w:val="EF089F9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7B1953C4"/>
    <w:multiLevelType w:val="hybridMultilevel"/>
    <w:tmpl w:val="672EED9C"/>
    <w:lvl w:ilvl="0" w:tplc="915AAC9C">
      <w:start w:val="1"/>
      <w:numFmt w:val="lowerLetter"/>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794177694">
    <w:abstractNumId w:val="5"/>
  </w:num>
  <w:num w:numId="2" w16cid:durableId="267280296">
    <w:abstractNumId w:val="4"/>
  </w:num>
  <w:num w:numId="3" w16cid:durableId="13549163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1626372">
    <w:abstractNumId w:val="0"/>
    <w:lvlOverride w:ilvl="0"/>
    <w:lvlOverride w:ilvl="1"/>
    <w:lvlOverride w:ilvl="2"/>
    <w:lvlOverride w:ilvl="3"/>
    <w:lvlOverride w:ilvl="4"/>
    <w:lvlOverride w:ilvl="5"/>
    <w:lvlOverride w:ilvl="6"/>
    <w:lvlOverride w:ilvl="7"/>
    <w:lvlOverride w:ilvl="8"/>
  </w:num>
  <w:num w:numId="5" w16cid:durableId="1097336560">
    <w:abstractNumId w:val="3"/>
  </w:num>
  <w:num w:numId="6" w16cid:durableId="1744378432">
    <w:abstractNumId w:val="0"/>
  </w:num>
  <w:num w:numId="7" w16cid:durableId="3626353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1D0"/>
    <w:rsid w:val="00017ECA"/>
    <w:rsid w:val="00032976"/>
    <w:rsid w:val="00045A98"/>
    <w:rsid w:val="000A410C"/>
    <w:rsid w:val="000D3CC7"/>
    <w:rsid w:val="000F6CB4"/>
    <w:rsid w:val="00100419"/>
    <w:rsid w:val="00104567"/>
    <w:rsid w:val="00110228"/>
    <w:rsid w:val="00124990"/>
    <w:rsid w:val="00126903"/>
    <w:rsid w:val="001626D6"/>
    <w:rsid w:val="001712CA"/>
    <w:rsid w:val="0019358D"/>
    <w:rsid w:val="001A3347"/>
    <w:rsid w:val="001A3A46"/>
    <w:rsid w:val="001A44EC"/>
    <w:rsid w:val="001B2B98"/>
    <w:rsid w:val="001E676F"/>
    <w:rsid w:val="00265093"/>
    <w:rsid w:val="00294411"/>
    <w:rsid w:val="00297DE5"/>
    <w:rsid w:val="002C1DF4"/>
    <w:rsid w:val="002C2A28"/>
    <w:rsid w:val="002D6771"/>
    <w:rsid w:val="002E3234"/>
    <w:rsid w:val="002E35E8"/>
    <w:rsid w:val="002E4779"/>
    <w:rsid w:val="002E7FE3"/>
    <w:rsid w:val="002F13BF"/>
    <w:rsid w:val="002F2336"/>
    <w:rsid w:val="002F3209"/>
    <w:rsid w:val="002F5EFE"/>
    <w:rsid w:val="00312E18"/>
    <w:rsid w:val="00324855"/>
    <w:rsid w:val="00336327"/>
    <w:rsid w:val="003440D4"/>
    <w:rsid w:val="003654E8"/>
    <w:rsid w:val="0037290D"/>
    <w:rsid w:val="00376E2B"/>
    <w:rsid w:val="00396029"/>
    <w:rsid w:val="003A2819"/>
    <w:rsid w:val="003B7363"/>
    <w:rsid w:val="003E192E"/>
    <w:rsid w:val="003E4ED2"/>
    <w:rsid w:val="003F56F4"/>
    <w:rsid w:val="00407A6D"/>
    <w:rsid w:val="00430806"/>
    <w:rsid w:val="00475E33"/>
    <w:rsid w:val="004A2378"/>
    <w:rsid w:val="004A55C1"/>
    <w:rsid w:val="004A676A"/>
    <w:rsid w:val="004C673D"/>
    <w:rsid w:val="004D6B69"/>
    <w:rsid w:val="004E39E9"/>
    <w:rsid w:val="004E67CA"/>
    <w:rsid w:val="005115CB"/>
    <w:rsid w:val="00546648"/>
    <w:rsid w:val="00551F91"/>
    <w:rsid w:val="0057303D"/>
    <w:rsid w:val="005B443F"/>
    <w:rsid w:val="005B6381"/>
    <w:rsid w:val="005E6F90"/>
    <w:rsid w:val="00617387"/>
    <w:rsid w:val="0062159A"/>
    <w:rsid w:val="00624C66"/>
    <w:rsid w:val="00634487"/>
    <w:rsid w:val="006379B9"/>
    <w:rsid w:val="006400B9"/>
    <w:rsid w:val="00666B20"/>
    <w:rsid w:val="00674D05"/>
    <w:rsid w:val="006A2216"/>
    <w:rsid w:val="006C62E4"/>
    <w:rsid w:val="006E7BC5"/>
    <w:rsid w:val="006F689B"/>
    <w:rsid w:val="00712048"/>
    <w:rsid w:val="00784ECC"/>
    <w:rsid w:val="007929AA"/>
    <w:rsid w:val="007B4BD5"/>
    <w:rsid w:val="007C1557"/>
    <w:rsid w:val="007C4148"/>
    <w:rsid w:val="007D26E3"/>
    <w:rsid w:val="007E2784"/>
    <w:rsid w:val="007E5B55"/>
    <w:rsid w:val="008132D1"/>
    <w:rsid w:val="008227A7"/>
    <w:rsid w:val="00840FD6"/>
    <w:rsid w:val="00897339"/>
    <w:rsid w:val="008C63F7"/>
    <w:rsid w:val="008D2A5C"/>
    <w:rsid w:val="008D30C0"/>
    <w:rsid w:val="008D66C9"/>
    <w:rsid w:val="008E10B9"/>
    <w:rsid w:val="008E56BF"/>
    <w:rsid w:val="009376C1"/>
    <w:rsid w:val="009524C3"/>
    <w:rsid w:val="00975388"/>
    <w:rsid w:val="00986976"/>
    <w:rsid w:val="00992277"/>
    <w:rsid w:val="00994CEA"/>
    <w:rsid w:val="009B678D"/>
    <w:rsid w:val="009C63EA"/>
    <w:rsid w:val="009E4749"/>
    <w:rsid w:val="00A1282D"/>
    <w:rsid w:val="00A163AC"/>
    <w:rsid w:val="00A40223"/>
    <w:rsid w:val="00A64FFF"/>
    <w:rsid w:val="00A717C4"/>
    <w:rsid w:val="00A7221E"/>
    <w:rsid w:val="00A81021"/>
    <w:rsid w:val="00A85FD2"/>
    <w:rsid w:val="00A87FEC"/>
    <w:rsid w:val="00AC69C4"/>
    <w:rsid w:val="00AC7385"/>
    <w:rsid w:val="00AD1815"/>
    <w:rsid w:val="00B069F3"/>
    <w:rsid w:val="00B121D0"/>
    <w:rsid w:val="00B22661"/>
    <w:rsid w:val="00B25CB8"/>
    <w:rsid w:val="00B312E8"/>
    <w:rsid w:val="00B33701"/>
    <w:rsid w:val="00B35257"/>
    <w:rsid w:val="00B36858"/>
    <w:rsid w:val="00B518AC"/>
    <w:rsid w:val="00B539B7"/>
    <w:rsid w:val="00B54570"/>
    <w:rsid w:val="00B678BA"/>
    <w:rsid w:val="00B67DB2"/>
    <w:rsid w:val="00B85D24"/>
    <w:rsid w:val="00B91A5C"/>
    <w:rsid w:val="00BC2760"/>
    <w:rsid w:val="00BE27B5"/>
    <w:rsid w:val="00BE7528"/>
    <w:rsid w:val="00BF21F4"/>
    <w:rsid w:val="00C32343"/>
    <w:rsid w:val="00C53AF4"/>
    <w:rsid w:val="00C77DC4"/>
    <w:rsid w:val="00CA0EE3"/>
    <w:rsid w:val="00CA39D4"/>
    <w:rsid w:val="00CC28D8"/>
    <w:rsid w:val="00CC5EFA"/>
    <w:rsid w:val="00CF21FA"/>
    <w:rsid w:val="00CF78D6"/>
    <w:rsid w:val="00D0698A"/>
    <w:rsid w:val="00D07335"/>
    <w:rsid w:val="00D24B92"/>
    <w:rsid w:val="00D34386"/>
    <w:rsid w:val="00D63C54"/>
    <w:rsid w:val="00D713EA"/>
    <w:rsid w:val="00D723FF"/>
    <w:rsid w:val="00D776C9"/>
    <w:rsid w:val="00D82B59"/>
    <w:rsid w:val="00D91A63"/>
    <w:rsid w:val="00D94FF7"/>
    <w:rsid w:val="00DB77F7"/>
    <w:rsid w:val="00DC652F"/>
    <w:rsid w:val="00DC68D6"/>
    <w:rsid w:val="00DD0CAD"/>
    <w:rsid w:val="00DD2A35"/>
    <w:rsid w:val="00DF0071"/>
    <w:rsid w:val="00E07915"/>
    <w:rsid w:val="00E265CE"/>
    <w:rsid w:val="00E416FD"/>
    <w:rsid w:val="00E54BDC"/>
    <w:rsid w:val="00E73EB5"/>
    <w:rsid w:val="00E97F00"/>
    <w:rsid w:val="00E97F7E"/>
    <w:rsid w:val="00EA7FE3"/>
    <w:rsid w:val="00EB72A3"/>
    <w:rsid w:val="00F151C5"/>
    <w:rsid w:val="00F25D21"/>
    <w:rsid w:val="00F31F56"/>
    <w:rsid w:val="00F336F6"/>
    <w:rsid w:val="00F52D6C"/>
    <w:rsid w:val="00F668D4"/>
    <w:rsid w:val="00F7016B"/>
    <w:rsid w:val="00F772E5"/>
    <w:rsid w:val="00FA3285"/>
    <w:rsid w:val="00FD056F"/>
    <w:rsid w:val="00FF6AE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4A47A"/>
  <w15:chartTrackingRefBased/>
  <w15:docId w15:val="{36F28FDC-8A85-4C32-909C-FE8290D17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32976"/>
    <w:rPr>
      <w:sz w:val="16"/>
      <w:szCs w:val="16"/>
    </w:rPr>
  </w:style>
  <w:style w:type="paragraph" w:styleId="CommentText">
    <w:name w:val="annotation text"/>
    <w:basedOn w:val="Normal"/>
    <w:link w:val="CommentTextChar"/>
    <w:uiPriority w:val="99"/>
    <w:unhideWhenUsed/>
    <w:rsid w:val="00032976"/>
    <w:pPr>
      <w:spacing w:line="240" w:lineRule="auto"/>
    </w:pPr>
    <w:rPr>
      <w:sz w:val="20"/>
      <w:szCs w:val="18"/>
    </w:rPr>
  </w:style>
  <w:style w:type="character" w:customStyle="1" w:styleId="CommentTextChar">
    <w:name w:val="Comment Text Char"/>
    <w:basedOn w:val="DefaultParagraphFont"/>
    <w:link w:val="CommentText"/>
    <w:uiPriority w:val="99"/>
    <w:rsid w:val="00032976"/>
    <w:rPr>
      <w:sz w:val="20"/>
      <w:szCs w:val="18"/>
    </w:rPr>
  </w:style>
  <w:style w:type="paragraph" w:styleId="CommentSubject">
    <w:name w:val="annotation subject"/>
    <w:basedOn w:val="CommentText"/>
    <w:next w:val="CommentText"/>
    <w:link w:val="CommentSubjectChar"/>
    <w:uiPriority w:val="99"/>
    <w:semiHidden/>
    <w:unhideWhenUsed/>
    <w:rsid w:val="00032976"/>
    <w:rPr>
      <w:b/>
      <w:bCs/>
    </w:rPr>
  </w:style>
  <w:style w:type="character" w:customStyle="1" w:styleId="CommentSubjectChar">
    <w:name w:val="Comment Subject Char"/>
    <w:basedOn w:val="CommentTextChar"/>
    <w:link w:val="CommentSubject"/>
    <w:uiPriority w:val="99"/>
    <w:semiHidden/>
    <w:rsid w:val="00032976"/>
    <w:rPr>
      <w:b/>
      <w:bCs/>
      <w:sz w:val="20"/>
      <w:szCs w:val="18"/>
    </w:rPr>
  </w:style>
  <w:style w:type="paragraph" w:styleId="Revision">
    <w:name w:val="Revision"/>
    <w:hidden/>
    <w:uiPriority w:val="99"/>
    <w:semiHidden/>
    <w:rsid w:val="00A1282D"/>
    <w:pPr>
      <w:spacing w:after="0" w:line="240" w:lineRule="auto"/>
    </w:pPr>
  </w:style>
  <w:style w:type="paragraph" w:styleId="ListParagraph">
    <w:name w:val="List Paragraph"/>
    <w:basedOn w:val="Normal"/>
    <w:uiPriority w:val="34"/>
    <w:qFormat/>
    <w:rsid w:val="00110228"/>
    <w:pPr>
      <w:ind w:left="720"/>
      <w:contextualSpacing/>
    </w:pPr>
  </w:style>
  <w:style w:type="paragraph" w:styleId="Header">
    <w:name w:val="header"/>
    <w:basedOn w:val="Normal"/>
    <w:link w:val="HeaderChar"/>
    <w:uiPriority w:val="99"/>
    <w:unhideWhenUsed/>
    <w:qFormat/>
    <w:rsid w:val="00F25D21"/>
    <w:pPr>
      <w:tabs>
        <w:tab w:val="center" w:pos="4513"/>
        <w:tab w:val="right" w:pos="9026"/>
      </w:tabs>
      <w:spacing w:after="0" w:line="240" w:lineRule="auto"/>
    </w:pPr>
  </w:style>
  <w:style w:type="character" w:customStyle="1" w:styleId="HeaderChar">
    <w:name w:val="Header Char"/>
    <w:basedOn w:val="DefaultParagraphFont"/>
    <w:link w:val="Header"/>
    <w:uiPriority w:val="99"/>
    <w:qFormat/>
    <w:rsid w:val="00F25D21"/>
  </w:style>
  <w:style w:type="paragraph" w:styleId="Footer">
    <w:name w:val="footer"/>
    <w:basedOn w:val="Normal"/>
    <w:link w:val="FooterChar"/>
    <w:uiPriority w:val="99"/>
    <w:unhideWhenUsed/>
    <w:rsid w:val="00F25D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D21"/>
  </w:style>
  <w:style w:type="paragraph" w:customStyle="1" w:styleId="CoverPartyNames">
    <w:name w:val="Cover Party Names"/>
    <w:basedOn w:val="Normal"/>
    <w:qFormat/>
    <w:rsid w:val="00F25D21"/>
    <w:pPr>
      <w:pBdr>
        <w:top w:val="single" w:sz="2" w:space="5" w:color="auto"/>
        <w:bottom w:val="single" w:sz="2" w:space="5" w:color="auto"/>
        <w:between w:val="single" w:sz="2" w:space="5" w:color="auto"/>
      </w:pBdr>
      <w:autoSpaceDE w:val="0"/>
      <w:autoSpaceDN w:val="0"/>
      <w:adjustRightInd w:val="0"/>
      <w:spacing w:after="120" w:line="400" w:lineRule="exact"/>
    </w:pPr>
    <w:rPr>
      <w:rFonts w:ascii="Arial" w:eastAsia="SimSun" w:hAnsi="Arial" w:cs="Times New Roman"/>
      <w:color w:val="000000"/>
      <w:sz w:val="36"/>
      <w:szCs w:val="22"/>
      <w:lang w:val="en-AU" w:eastAsia="en-AU" w:bidi="ar-SA"/>
    </w:rPr>
  </w:style>
  <w:style w:type="table" w:styleId="TableGrid">
    <w:name w:val="Table Grid"/>
    <w:basedOn w:val="TableNormal"/>
    <w:uiPriority w:val="39"/>
    <w:rsid w:val="00F25D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27A7"/>
    <w:rPr>
      <w:color w:val="0563C1" w:themeColor="hyperlink"/>
      <w:u w:val="single"/>
    </w:rPr>
  </w:style>
  <w:style w:type="character" w:styleId="UnresolvedMention">
    <w:name w:val="Unresolved Mention"/>
    <w:basedOn w:val="DefaultParagraphFont"/>
    <w:uiPriority w:val="99"/>
    <w:semiHidden/>
    <w:unhideWhenUsed/>
    <w:rsid w:val="008227A7"/>
    <w:rPr>
      <w:color w:val="605E5C"/>
      <w:shd w:val="clear" w:color="auto" w:fill="E1DFDD"/>
    </w:rPr>
  </w:style>
  <w:style w:type="character" w:styleId="FollowedHyperlink">
    <w:name w:val="FollowedHyperlink"/>
    <w:basedOn w:val="DefaultParagraphFont"/>
    <w:uiPriority w:val="99"/>
    <w:semiHidden/>
    <w:unhideWhenUsed/>
    <w:rsid w:val="004E39E9"/>
    <w:rPr>
      <w:color w:val="954F72" w:themeColor="followedHyperlink"/>
      <w:u w:val="single"/>
    </w:rPr>
  </w:style>
  <w:style w:type="paragraph" w:customStyle="1" w:styleId="x210615018xxmsonormal">
    <w:name w:val="x_210615018xxmsonormal"/>
    <w:basedOn w:val="Normal"/>
    <w:rsid w:val="00D94FF7"/>
    <w:pPr>
      <w:spacing w:before="100" w:beforeAutospacing="1" w:after="100" w:afterAutospacing="1" w:line="240" w:lineRule="auto"/>
    </w:pPr>
    <w:rPr>
      <w:rFonts w:ascii="Aptos" w:hAnsi="Aptos" w:cs="Aptos"/>
      <w:sz w:val="24"/>
      <w:szCs w:val="24"/>
      <w:lang w:val="en-CA" w:eastAsia="en-CA" w:bidi="ar-SA"/>
    </w:rPr>
  </w:style>
  <w:style w:type="paragraph" w:customStyle="1" w:styleId="xxmsonormal">
    <w:name w:val="x_xmsonormal"/>
    <w:basedOn w:val="Normal"/>
    <w:rsid w:val="00D94FF7"/>
    <w:pPr>
      <w:spacing w:after="0" w:line="240" w:lineRule="auto"/>
    </w:pPr>
    <w:rPr>
      <w:rFonts w:ascii="Aptos" w:hAnsi="Aptos" w:cs="Aptos"/>
      <w:sz w:val="24"/>
      <w:szCs w:val="24"/>
      <w:lang w:val="en-CA" w:eastAsia="en-CA" w:bidi="ar-SA"/>
    </w:rPr>
  </w:style>
  <w:style w:type="character" w:customStyle="1" w:styleId="size">
    <w:name w:val="size"/>
    <w:basedOn w:val="DefaultParagraphFont"/>
    <w:rsid w:val="00D94F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608541">
      <w:bodyDiv w:val="1"/>
      <w:marLeft w:val="0"/>
      <w:marRight w:val="0"/>
      <w:marTop w:val="0"/>
      <w:marBottom w:val="0"/>
      <w:divBdr>
        <w:top w:val="none" w:sz="0" w:space="0" w:color="auto"/>
        <w:left w:val="none" w:sz="0" w:space="0" w:color="auto"/>
        <w:bottom w:val="none" w:sz="0" w:space="0" w:color="auto"/>
        <w:right w:val="none" w:sz="0" w:space="0" w:color="auto"/>
      </w:divBdr>
    </w:div>
    <w:div w:id="184092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ac-accreditation.org/publications/com-series/" TargetMode="External"/><Relationship Id="rId13" Type="http://schemas.openxmlformats.org/officeDocument/2006/relationships/hyperlink" Target="https://ilac.or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iaf.nu/en/hom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pac-accreditation.org/apac-mra/"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apac-accreditation.org/membership/" TargetMode="External"/><Relationship Id="rId4" Type="http://schemas.openxmlformats.org/officeDocument/2006/relationships/webSettings" Target="webSettings.xml"/><Relationship Id="rId9" Type="http://schemas.openxmlformats.org/officeDocument/2006/relationships/hyperlink" Target="https://www.apac-accreditation.or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1454</Words>
  <Characters>8294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Amit Dhawan</dc:creator>
  <cp:keywords/>
  <dc:description/>
  <cp:lastModifiedBy>Graeme Drake</cp:lastModifiedBy>
  <cp:revision>5</cp:revision>
  <cp:lastPrinted>2022-05-24T10:50:00Z</cp:lastPrinted>
  <dcterms:created xsi:type="dcterms:W3CDTF">2024-06-27T20:27:00Z</dcterms:created>
  <dcterms:modified xsi:type="dcterms:W3CDTF">2024-06-27T21:21:00Z</dcterms:modified>
</cp:coreProperties>
</file>